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 w:cs="黑体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黑体" w:eastAsia="黑体" w:cs="黑体"/>
          <w:sz w:val="32"/>
          <w:szCs w:val="32"/>
        </w:rPr>
        <w:t>附件</w:t>
      </w:r>
      <w:r>
        <w:rPr>
          <w:rFonts w:hint="eastAsia" w:ascii="黑体" w:eastAsia="黑体" w:cs="黑体"/>
          <w:sz w:val="32"/>
          <w:szCs w:val="32"/>
          <w:lang w:val="en-US" w:eastAsia="zh-CN"/>
        </w:rPr>
        <w:t>1</w:t>
      </w:r>
    </w:p>
    <w:p>
      <w:pPr>
        <w:spacing w:line="600" w:lineRule="exact"/>
        <w:ind w:firstLine="1080" w:firstLineChars="300"/>
        <w:jc w:val="both"/>
        <w:rPr>
          <w:rFonts w:ascii="黑体" w:eastAsia="黑体" w:cs="Times New Roman"/>
          <w:sz w:val="36"/>
          <w:szCs w:val="36"/>
        </w:rPr>
      </w:pPr>
      <w:r>
        <w:rPr>
          <w:rFonts w:ascii="黑体" w:eastAsia="黑体" w:cs="黑体"/>
          <w:sz w:val="36"/>
          <w:szCs w:val="36"/>
        </w:rPr>
        <w:t>2021</w:t>
      </w:r>
      <w:r>
        <w:rPr>
          <w:rFonts w:hint="eastAsia" w:ascii="黑体" w:eastAsia="黑体" w:cs="黑体"/>
          <w:sz w:val="36"/>
          <w:szCs w:val="36"/>
        </w:rPr>
        <w:t>年度社科基金项目课题参考选题</w:t>
      </w:r>
    </w:p>
    <w:p>
      <w:pPr>
        <w:spacing w:line="600" w:lineRule="exact"/>
        <w:ind w:firstLine="640" w:firstLineChars="200"/>
        <w:rPr>
          <w:rFonts w:ascii="仿宋" w:eastAsia="仿宋" w:cs="Times New Roman"/>
          <w:sz w:val="32"/>
          <w:szCs w:val="32"/>
        </w:rPr>
      </w:pP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1.</w:t>
      </w:r>
      <w:r>
        <w:rPr>
          <w:rFonts w:hint="eastAsia" w:ascii="仿宋" w:eastAsia="仿宋" w:cs="仿宋"/>
          <w:sz w:val="32"/>
          <w:szCs w:val="32"/>
        </w:rPr>
        <w:t>实施“三高四新”战略，加快建设“三区两城”，构建“一核两轴三圈</w:t>
      </w:r>
      <w:r>
        <w:rPr>
          <w:rFonts w:ascii="仿宋" w:eastAsia="仿宋" w:cs="Times New Roman"/>
          <w:sz w:val="32"/>
          <w:szCs w:val="32"/>
        </w:rPr>
        <w:t>”</w:t>
      </w:r>
      <w:r>
        <w:rPr>
          <w:rFonts w:hint="eastAsia" w:ascii="仿宋" w:eastAsia="仿宋" w:cs="仿宋"/>
          <w:sz w:val="32"/>
          <w:szCs w:val="32"/>
        </w:rPr>
        <w:t>区域经济格局，建设现代化新永州路径研究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2.</w:t>
      </w:r>
      <w:r>
        <w:rPr>
          <w:rFonts w:hint="eastAsia" w:ascii="仿宋" w:eastAsia="仿宋" w:cs="仿宋"/>
          <w:sz w:val="32"/>
          <w:szCs w:val="32"/>
        </w:rPr>
        <w:t>李达与百年党史视野中的马克思主义中国化研究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3.</w:t>
      </w:r>
      <w:r>
        <w:rPr>
          <w:rFonts w:hint="eastAsia" w:ascii="仿宋" w:eastAsia="仿宋" w:cs="仿宋"/>
          <w:sz w:val="32"/>
          <w:szCs w:val="32"/>
        </w:rPr>
        <w:t>永州文化生态旅游产业深度融合发展实施路径研究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4.</w:t>
      </w:r>
      <w:r>
        <w:rPr>
          <w:rFonts w:hint="eastAsia" w:ascii="仿宋" w:eastAsia="仿宋" w:cs="仿宋"/>
          <w:sz w:val="32"/>
          <w:szCs w:val="32"/>
        </w:rPr>
        <w:t>摩崖石刻中的永州历史与文化研究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5.</w:t>
      </w:r>
      <w:r>
        <w:rPr>
          <w:rFonts w:hint="eastAsia" w:ascii="仿宋" w:eastAsia="仿宋" w:cs="仿宋"/>
          <w:sz w:val="32"/>
          <w:szCs w:val="32"/>
        </w:rPr>
        <w:t>“一带一部”定位下加快永州崛起的发展战略研究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6.</w:t>
      </w:r>
      <w:r>
        <w:rPr>
          <w:rFonts w:hint="eastAsia" w:ascii="仿宋" w:eastAsia="仿宋" w:cs="仿宋"/>
          <w:sz w:val="32"/>
          <w:szCs w:val="32"/>
        </w:rPr>
        <w:t>新冠肺炎疫情对永州经济的影响及对策研究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7.</w:t>
      </w:r>
      <w:r>
        <w:rPr>
          <w:rFonts w:hint="eastAsia" w:ascii="仿宋" w:eastAsia="仿宋" w:cs="仿宋"/>
          <w:sz w:val="32"/>
          <w:szCs w:val="32"/>
        </w:rPr>
        <w:t>加快补齐永州公共卫生服务短板对策研究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8.</w:t>
      </w:r>
      <w:r>
        <w:rPr>
          <w:rFonts w:hint="eastAsia" w:ascii="仿宋" w:eastAsia="仿宋" w:cs="仿宋"/>
          <w:sz w:val="32"/>
          <w:szCs w:val="32"/>
        </w:rPr>
        <w:t>当前我市乡村振兴的重点任务与对策研究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9.</w:t>
      </w:r>
      <w:r>
        <w:rPr>
          <w:rFonts w:hint="eastAsia" w:ascii="仿宋" w:eastAsia="仿宋" w:cs="仿宋"/>
          <w:sz w:val="32"/>
          <w:szCs w:val="32"/>
        </w:rPr>
        <w:t>乡村振兴战略下永州乡村文化建设研究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10.</w:t>
      </w:r>
      <w:r>
        <w:rPr>
          <w:rFonts w:hint="eastAsia" w:ascii="仿宋" w:eastAsia="仿宋" w:cs="仿宋"/>
          <w:sz w:val="32"/>
          <w:szCs w:val="32"/>
        </w:rPr>
        <w:t>传统村落保护与我市乡村振兴研究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11.</w:t>
      </w:r>
      <w:r>
        <w:rPr>
          <w:rFonts w:hint="eastAsia" w:ascii="仿宋" w:eastAsia="仿宋" w:cs="仿宋"/>
          <w:sz w:val="32"/>
          <w:szCs w:val="32"/>
        </w:rPr>
        <w:t>中心城区老旧小区改造重点问题及对策建议研究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12.</w:t>
      </w:r>
      <w:r>
        <w:rPr>
          <w:rFonts w:hint="eastAsia" w:ascii="仿宋" w:eastAsia="仿宋" w:cs="仿宋"/>
          <w:sz w:val="32"/>
          <w:szCs w:val="32"/>
        </w:rPr>
        <w:t>中国传统文化在高校大学生思想政治教育中的作用研究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13.</w:t>
      </w:r>
      <w:r>
        <w:rPr>
          <w:rFonts w:hint="eastAsia" w:ascii="仿宋" w:eastAsia="仿宋" w:cs="仿宋"/>
          <w:sz w:val="32"/>
          <w:szCs w:val="32"/>
        </w:rPr>
        <w:t>打造“锦绣潇湘”文旅品牌高地实践路径研究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14.</w:t>
      </w:r>
      <w:r>
        <w:rPr>
          <w:rFonts w:hint="eastAsia" w:ascii="仿宋" w:eastAsia="仿宋" w:cs="仿宋"/>
          <w:sz w:val="32"/>
          <w:szCs w:val="32"/>
        </w:rPr>
        <w:t>绿色发展战略下永州产业与品牌打造研究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15.</w:t>
      </w:r>
      <w:r>
        <w:rPr>
          <w:rFonts w:hint="eastAsia" w:ascii="仿宋" w:eastAsia="仿宋" w:cs="仿宋"/>
          <w:sz w:val="32"/>
          <w:szCs w:val="32"/>
        </w:rPr>
        <w:t>共建共治共享社会治理体系研究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16.</w:t>
      </w:r>
      <w:r>
        <w:rPr>
          <w:rFonts w:hint="eastAsia" w:ascii="仿宋" w:eastAsia="仿宋" w:cs="仿宋"/>
          <w:sz w:val="32"/>
          <w:szCs w:val="32"/>
        </w:rPr>
        <w:t>陈树湘“断肠明志、绝对忠诚”研究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17.</w:t>
      </w:r>
      <w:r>
        <w:rPr>
          <w:rFonts w:hint="eastAsia" w:ascii="仿宋" w:eastAsia="仿宋" w:cs="仿宋"/>
          <w:sz w:val="32"/>
          <w:szCs w:val="32"/>
        </w:rPr>
        <w:t>强化文旅弱项，推进现代化新永州建设的路径研究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18.</w:t>
      </w:r>
      <w:r>
        <w:rPr>
          <w:rFonts w:hint="eastAsia" w:ascii="仿宋" w:eastAsia="仿宋" w:cs="仿宋"/>
          <w:sz w:val="32"/>
          <w:szCs w:val="32"/>
        </w:rPr>
        <w:t>国家治理能力现代化维度下的行政执法方式及其创新研</w:t>
      </w:r>
    </w:p>
    <w:p>
      <w:pPr>
        <w:spacing w:line="600" w:lineRule="exact"/>
        <w:ind w:firstLine="640" w:firstLineChars="200"/>
        <w:rPr>
          <w:rFonts w:ascii="仿宋" w:eastAsia="仿宋" w:cs="Times New Roman"/>
          <w:sz w:val="32"/>
          <w:szCs w:val="32"/>
        </w:rPr>
      </w:pPr>
      <w:r>
        <w:rPr>
          <w:rFonts w:hint="eastAsia" w:ascii="仿宋" w:eastAsia="仿宋" w:cs="仿宋"/>
          <w:sz w:val="32"/>
          <w:szCs w:val="32"/>
        </w:rPr>
        <w:t>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19.</w:t>
      </w:r>
      <w:r>
        <w:rPr>
          <w:rFonts w:hint="eastAsia" w:ascii="仿宋" w:eastAsia="仿宋" w:cs="仿宋"/>
          <w:sz w:val="32"/>
          <w:szCs w:val="32"/>
        </w:rPr>
        <w:t>用法治优化营商环境</w:t>
      </w:r>
      <w:r>
        <w:rPr>
          <w:rFonts w:ascii="仿宋" w:eastAsia="仿宋" w:cs="仿宋"/>
          <w:sz w:val="32"/>
          <w:szCs w:val="32"/>
        </w:rPr>
        <w:t xml:space="preserve"> </w:t>
      </w:r>
      <w:r>
        <w:rPr>
          <w:rFonts w:hint="eastAsia" w:ascii="仿宋" w:eastAsia="仿宋" w:cs="仿宋"/>
          <w:sz w:val="32"/>
          <w:szCs w:val="32"/>
        </w:rPr>
        <w:t>，助推永州经济高质量发展研究</w:t>
      </w:r>
    </w:p>
    <w:p>
      <w:pPr>
        <w:spacing w:line="600" w:lineRule="exact"/>
        <w:ind w:left="31680" w:hanging="480" w:hangingChars="150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20.</w:t>
      </w:r>
      <w:r>
        <w:rPr>
          <w:rFonts w:hint="eastAsia" w:ascii="仿宋" w:eastAsia="仿宋" w:cs="仿宋"/>
          <w:sz w:val="32"/>
          <w:szCs w:val="32"/>
        </w:rPr>
        <w:t>碳达峰碳中和背景下永州绿色产业发展与金融信贷效率研究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21.</w:t>
      </w:r>
      <w:r>
        <w:rPr>
          <w:rFonts w:hint="eastAsia" w:ascii="仿宋" w:eastAsia="仿宋" w:cs="仿宋"/>
          <w:sz w:val="32"/>
          <w:szCs w:val="32"/>
        </w:rPr>
        <w:t>促进永州外向型经济发展研究</w:t>
      </w:r>
    </w:p>
    <w:p>
      <w:pPr>
        <w:spacing w:line="600" w:lineRule="exact"/>
        <w:ind w:left="31680" w:hanging="480" w:hangingChars="150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22.</w:t>
      </w:r>
      <w:r>
        <w:rPr>
          <w:rFonts w:hint="eastAsia" w:ascii="仿宋" w:eastAsia="仿宋" w:cs="仿宋"/>
          <w:sz w:val="32"/>
          <w:szCs w:val="32"/>
        </w:rPr>
        <w:t>以习近平生态文明思想为指引，加强污染防治攻坚战的组织实施研究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23.</w:t>
      </w:r>
      <w:r>
        <w:rPr>
          <w:rFonts w:hint="eastAsia" w:ascii="仿宋" w:eastAsia="仿宋" w:cs="仿宋"/>
          <w:sz w:val="32"/>
          <w:szCs w:val="32"/>
        </w:rPr>
        <w:t>永州“十四五”产业园区高质量发展思路研究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24.</w:t>
      </w:r>
      <w:r>
        <w:rPr>
          <w:rFonts w:hint="eastAsia" w:ascii="仿宋" w:eastAsia="仿宋" w:cs="仿宋"/>
          <w:sz w:val="32"/>
          <w:szCs w:val="32"/>
        </w:rPr>
        <w:t>充分运用我市红色资源深化拓展党史学习教育成效研究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25.</w:t>
      </w:r>
      <w:r>
        <w:rPr>
          <w:rFonts w:hint="eastAsia" w:ascii="仿宋" w:eastAsia="仿宋" w:cs="仿宋"/>
          <w:sz w:val="32"/>
          <w:szCs w:val="32"/>
        </w:rPr>
        <w:t>长征文化公园永州段建设与发展对策研究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26.</w:t>
      </w:r>
      <w:r>
        <w:rPr>
          <w:rFonts w:hint="eastAsia" w:ascii="仿宋" w:eastAsia="仿宋" w:cs="仿宋"/>
          <w:sz w:val="32"/>
          <w:szCs w:val="32"/>
        </w:rPr>
        <w:t>新时代学校意识形态工作领导权研究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27.</w:t>
      </w:r>
      <w:r>
        <w:rPr>
          <w:rFonts w:hint="eastAsia" w:ascii="仿宋" w:eastAsia="仿宋" w:cs="仿宋"/>
          <w:sz w:val="32"/>
          <w:szCs w:val="32"/>
        </w:rPr>
        <w:t>永州红色资源的挖掘整理与利用研究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29.</w:t>
      </w:r>
      <w:r>
        <w:rPr>
          <w:rFonts w:hint="eastAsia" w:ascii="仿宋" w:eastAsia="仿宋" w:cs="仿宋"/>
          <w:sz w:val="32"/>
          <w:szCs w:val="32"/>
        </w:rPr>
        <w:t>永州青年社会组织参与社会治理的法治路径研究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30.</w:t>
      </w:r>
      <w:r>
        <w:rPr>
          <w:rFonts w:hint="eastAsia" w:ascii="仿宋" w:eastAsia="仿宋" w:cs="仿宋"/>
          <w:sz w:val="32"/>
          <w:szCs w:val="32"/>
        </w:rPr>
        <w:t>永州市“产业强链”工程对策性研究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31.</w:t>
      </w:r>
      <w:r>
        <w:rPr>
          <w:rFonts w:hint="eastAsia" w:ascii="仿宋" w:eastAsia="仿宋" w:cs="仿宋"/>
          <w:sz w:val="32"/>
          <w:szCs w:val="32"/>
        </w:rPr>
        <w:t>永州市与粤港澳大湾区协同创新机制研究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32.</w:t>
      </w:r>
      <w:r>
        <w:rPr>
          <w:rFonts w:hint="eastAsia" w:ascii="仿宋" w:eastAsia="仿宋" w:cs="仿宋"/>
          <w:sz w:val="32"/>
          <w:szCs w:val="32"/>
        </w:rPr>
        <w:t>乡村振兴战略背景下永州生态旅游发展路径研究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33.</w:t>
      </w:r>
      <w:r>
        <w:rPr>
          <w:rFonts w:hint="eastAsia" w:ascii="仿宋" w:eastAsia="仿宋" w:cs="仿宋"/>
          <w:sz w:val="32"/>
          <w:szCs w:val="32"/>
        </w:rPr>
        <w:t>红七军转战湘南研究</w:t>
      </w:r>
    </w:p>
    <w:p>
      <w:pPr>
        <w:spacing w:line="600" w:lineRule="exact"/>
        <w:ind w:left="31680" w:hanging="480" w:hangingChars="150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34.</w:t>
      </w:r>
      <w:r>
        <w:rPr>
          <w:rFonts w:hint="eastAsia" w:ascii="仿宋" w:eastAsia="仿宋" w:cs="仿宋"/>
          <w:sz w:val="32"/>
          <w:szCs w:val="32"/>
        </w:rPr>
        <w:t>农民专业合作社税费征管研究</w:t>
      </w:r>
      <w:r>
        <w:rPr>
          <w:rFonts w:ascii="仿宋" w:eastAsia="仿宋" w:cs="Times New Roman"/>
          <w:sz w:val="32"/>
          <w:szCs w:val="32"/>
        </w:rPr>
        <w:t>——</w:t>
      </w:r>
      <w:r>
        <w:rPr>
          <w:rFonts w:hint="eastAsia" w:ascii="仿宋" w:eastAsia="仿宋" w:cs="仿宋"/>
          <w:sz w:val="32"/>
          <w:szCs w:val="32"/>
        </w:rPr>
        <w:t>以祁阳、东安、双牌三地为例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35</w:t>
      </w:r>
      <w:r>
        <w:rPr>
          <w:rFonts w:hint="eastAsia" w:ascii="仿宋" w:eastAsia="仿宋" w:cs="仿宋"/>
          <w:sz w:val="32"/>
          <w:szCs w:val="32"/>
        </w:rPr>
        <w:t>从税收视角看永州外向型经济研究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36.</w:t>
      </w:r>
      <w:r>
        <w:rPr>
          <w:rFonts w:hint="eastAsia" w:ascii="仿宋" w:eastAsia="仿宋" w:cs="仿宋"/>
          <w:sz w:val="32"/>
          <w:szCs w:val="32"/>
        </w:rPr>
        <w:t>从税收视角看永州经济税源发展态势研究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37.</w:t>
      </w:r>
      <w:r>
        <w:rPr>
          <w:rFonts w:hint="eastAsia" w:ascii="仿宋" w:eastAsia="仿宋" w:cs="仿宋"/>
          <w:sz w:val="32"/>
          <w:szCs w:val="32"/>
        </w:rPr>
        <w:t>从税收营商环境指标视角探析政务公开路径研究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38.</w:t>
      </w:r>
      <w:r>
        <w:rPr>
          <w:rFonts w:hint="eastAsia" w:ascii="仿宋" w:eastAsia="仿宋" w:cs="仿宋"/>
          <w:sz w:val="32"/>
          <w:szCs w:val="32"/>
        </w:rPr>
        <w:t>永州市县域营商环境评价指标体系构建与运用研究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39.</w:t>
      </w:r>
      <w:r>
        <w:rPr>
          <w:rFonts w:hint="eastAsia" w:ascii="仿宋" w:eastAsia="仿宋" w:cs="仿宋"/>
          <w:sz w:val="32"/>
          <w:szCs w:val="32"/>
        </w:rPr>
        <w:t>建设绿色城乡先行区</w:t>
      </w:r>
      <w:r>
        <w:rPr>
          <w:rFonts w:ascii="仿宋" w:eastAsia="仿宋" w:cs="Times New Roman"/>
          <w:sz w:val="32"/>
          <w:szCs w:val="32"/>
        </w:rPr>
        <w:t>——</w:t>
      </w:r>
      <w:r>
        <w:rPr>
          <w:rFonts w:hint="eastAsia" w:ascii="仿宋" w:eastAsia="仿宋" w:cs="仿宋"/>
          <w:sz w:val="32"/>
          <w:szCs w:val="32"/>
        </w:rPr>
        <w:t>宁远县的实践与探索研究</w:t>
      </w:r>
    </w:p>
    <w:p>
      <w:pPr>
        <w:spacing w:line="600" w:lineRule="exact"/>
        <w:ind w:left="31680" w:hanging="480" w:hangingChars="150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40.</w:t>
      </w:r>
      <w:r>
        <w:rPr>
          <w:rFonts w:hint="eastAsia" w:ascii="仿宋" w:eastAsia="仿宋" w:cs="仿宋"/>
          <w:sz w:val="32"/>
          <w:szCs w:val="32"/>
        </w:rPr>
        <w:t>全面推进乡村振兴，大力改善农民生活品质</w:t>
      </w:r>
      <w:r>
        <w:rPr>
          <w:rFonts w:ascii="仿宋" w:eastAsia="仿宋" w:cs="Times New Roman"/>
          <w:sz w:val="32"/>
          <w:szCs w:val="32"/>
        </w:rPr>
        <w:t>——</w:t>
      </w:r>
      <w:r>
        <w:rPr>
          <w:rFonts w:hint="eastAsia" w:ascii="仿宋" w:eastAsia="仿宋" w:cs="仿宋"/>
          <w:sz w:val="32"/>
          <w:szCs w:val="32"/>
        </w:rPr>
        <w:t>以永州宁远为例</w:t>
      </w:r>
    </w:p>
    <w:p>
      <w:pPr>
        <w:spacing w:line="600" w:lineRule="exact"/>
        <w:ind w:left="31680" w:hanging="480" w:hangingChars="150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41.</w:t>
      </w:r>
      <w:r>
        <w:rPr>
          <w:rFonts w:hint="eastAsia" w:ascii="仿宋" w:eastAsia="仿宋" w:cs="仿宋"/>
          <w:sz w:val="32"/>
          <w:szCs w:val="32"/>
        </w:rPr>
        <w:t>充分挖掘舜文化宝藏，探索宁远文旅高质量发展的新路子研究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42.</w:t>
      </w:r>
      <w:r>
        <w:rPr>
          <w:rFonts w:hint="eastAsia" w:ascii="仿宋" w:eastAsia="仿宋" w:cs="仿宋"/>
          <w:sz w:val="32"/>
          <w:szCs w:val="32"/>
        </w:rPr>
        <w:t>“平喻大谋”研究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43.</w:t>
      </w:r>
      <w:r>
        <w:rPr>
          <w:rFonts w:hint="eastAsia" w:ascii="仿宋" w:eastAsia="仿宋" w:cs="仿宋"/>
          <w:sz w:val="32"/>
          <w:szCs w:val="32"/>
        </w:rPr>
        <w:t>“绝对忠诚”研究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44.</w:t>
      </w:r>
      <w:r>
        <w:rPr>
          <w:rFonts w:hint="eastAsia" w:ascii="仿宋" w:eastAsia="仿宋" w:cs="仿宋"/>
          <w:sz w:val="32"/>
          <w:szCs w:val="32"/>
        </w:rPr>
        <w:t>永州对接“粤港澳大湾区”研究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45.</w:t>
      </w:r>
      <w:r>
        <w:rPr>
          <w:rFonts w:hint="eastAsia" w:ascii="仿宋" w:eastAsia="仿宋" w:cs="仿宋"/>
          <w:sz w:val="32"/>
          <w:szCs w:val="32"/>
        </w:rPr>
        <w:t>永州建设对接东盟开发合作先行区研究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46.</w:t>
      </w:r>
      <w:r>
        <w:rPr>
          <w:rFonts w:hint="eastAsia" w:ascii="仿宋" w:eastAsia="仿宋" w:cs="仿宋"/>
          <w:sz w:val="32"/>
          <w:szCs w:val="32"/>
        </w:rPr>
        <w:t>柏忍精神研究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47.</w:t>
      </w:r>
      <w:r>
        <w:rPr>
          <w:rFonts w:hint="eastAsia" w:ascii="仿宋" w:eastAsia="仿宋" w:cs="仿宋"/>
          <w:sz w:val="32"/>
          <w:szCs w:val="32"/>
        </w:rPr>
        <w:t>口述历史</w:t>
      </w:r>
      <w:r>
        <w:rPr>
          <w:rFonts w:ascii="仿宋" w:eastAsia="仿宋" w:cs="Times New Roman"/>
          <w:sz w:val="32"/>
          <w:szCs w:val="32"/>
        </w:rPr>
        <w:t>——</w:t>
      </w:r>
      <w:r>
        <w:rPr>
          <w:rFonts w:hint="eastAsia" w:ascii="仿宋" w:eastAsia="仿宋" w:cs="仿宋"/>
          <w:sz w:val="32"/>
          <w:szCs w:val="32"/>
        </w:rPr>
        <w:t>百岁老人谈永州新旧社会对比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48.</w:t>
      </w:r>
      <w:r>
        <w:rPr>
          <w:rFonts w:hint="eastAsia" w:ascii="仿宋" w:eastAsia="仿宋" w:cs="仿宋"/>
          <w:sz w:val="32"/>
          <w:szCs w:val="32"/>
        </w:rPr>
        <w:t>习近平总书记“七一”重要讲话精神研究</w:t>
      </w:r>
    </w:p>
    <w:p>
      <w:pPr>
        <w:spacing w:line="600" w:lineRule="exact"/>
        <w:rPr>
          <w:rFonts w:ascii="仿宋" w:eastAsia="仿宋" w:cs="Times New Roman"/>
          <w:sz w:val="32"/>
          <w:szCs w:val="32"/>
        </w:rPr>
      </w:pPr>
      <w:r>
        <w:rPr>
          <w:rFonts w:ascii="仿宋" w:eastAsia="仿宋" w:cs="仿宋"/>
          <w:sz w:val="32"/>
          <w:szCs w:val="32"/>
        </w:rPr>
        <w:t>49.</w:t>
      </w:r>
      <w:r>
        <w:rPr>
          <w:rFonts w:hint="eastAsia" w:ascii="仿宋" w:eastAsia="仿宋" w:cs="仿宋"/>
          <w:sz w:val="32"/>
          <w:szCs w:val="32"/>
        </w:rPr>
        <w:t>党的十九届六中全会精神研究</w:t>
      </w:r>
    </w:p>
    <w:p>
      <w:pPr>
        <w:tabs>
          <w:tab w:val="left" w:pos="-540"/>
        </w:tabs>
        <w:snapToGrid w:val="0"/>
        <w:ind w:right="-91" w:rightChars="-38"/>
        <w:rPr>
          <w:rFonts w:ascii="仿宋_GB2312" w:eastAsia="仿宋_GB2312" w:cs="Times New Roman"/>
          <w:sz w:val="32"/>
          <w:szCs w:val="32"/>
        </w:rPr>
      </w:pPr>
    </w:p>
    <w:p>
      <w:pPr>
        <w:pStyle w:val="10"/>
        <w:spacing w:line="360" w:lineRule="auto"/>
        <w:ind w:firstLine="640" w:firstLineChars="200"/>
        <w:jc w:val="both"/>
        <w:rPr>
          <w:rFonts w:ascii="仿宋_GB2312" w:eastAsia="仿宋_GB2312" w:cs="Times New Roman"/>
          <w:sz w:val="32"/>
          <w:szCs w:val="32"/>
        </w:rPr>
      </w:pPr>
    </w:p>
    <w:sectPr>
      <w:pgSz w:w="11907" w:h="16839"/>
      <w:pgMar w:top="1440" w:right="1800" w:bottom="1440" w:left="1800" w:header="851" w:footer="992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??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1"/>
  <w:bordersDoNotSurroundFooter w:val="1"/>
  <w:documentProtection w:enforcement="0"/>
  <w:defaultTabStop w:val="420"/>
  <w:doNotHyphenateCaps/>
  <w:drawingGridHorizontalSpacing w:val="120"/>
  <w:drawingGridVerticalSpacing w:val="163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BB0"/>
    <w:rsid w:val="00677186"/>
    <w:rsid w:val="006E0BB0"/>
    <w:rsid w:val="007370FD"/>
    <w:rsid w:val="00AB35EB"/>
    <w:rsid w:val="00D72450"/>
    <w:rsid w:val="01E80CBE"/>
    <w:rsid w:val="345F1713"/>
    <w:rsid w:val="49FE3ECF"/>
    <w:rsid w:val="57511461"/>
    <w:rsid w:val="72FC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name="toc 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qFormat="1" w:unhideWhenUsed="0" w:uiPriority="99" w:semiHidden="0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宋体" w:hAnsi="Times New Roman" w:eastAsia="宋体" w:cs="宋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widowControl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20"/>
    <w:qFormat/>
    <w:uiPriority w:val="99"/>
    <w:pPr>
      <w:keepNext/>
      <w:keepLines/>
      <w:spacing w:before="260" w:after="260" w:line="415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paragraph" w:styleId="4">
    <w:name w:val="heading 3"/>
    <w:basedOn w:val="1"/>
    <w:next w:val="1"/>
    <w:link w:val="21"/>
    <w:qFormat/>
    <w:uiPriority w:val="99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5">
    <w:name w:val="Default Paragraph Font"/>
    <w:semiHidden/>
    <w:qFormat/>
    <w:uiPriority w:val="99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22"/>
    <w:qFormat/>
    <w:uiPriority w:val="99"/>
    <w:pPr>
      <w:spacing w:after="120"/>
    </w:pPr>
  </w:style>
  <w:style w:type="paragraph" w:styleId="6">
    <w:name w:val="Body Text Indent"/>
    <w:basedOn w:val="1"/>
    <w:link w:val="24"/>
    <w:qFormat/>
    <w:uiPriority w:val="99"/>
    <w:pPr>
      <w:spacing w:after="120"/>
      <w:ind w:left="420" w:leftChars="200"/>
    </w:pPr>
  </w:style>
  <w:style w:type="paragraph" w:styleId="7">
    <w:name w:val="footer"/>
    <w:basedOn w:val="1"/>
    <w:link w:val="27"/>
    <w:uiPriority w:val="99"/>
    <w:pPr>
      <w:tabs>
        <w:tab w:val="center" w:pos="4153"/>
        <w:tab w:val="right" w:pos="8307"/>
      </w:tabs>
      <w:snapToGrid w:val="0"/>
    </w:pPr>
    <w:rPr>
      <w:sz w:val="18"/>
      <w:szCs w:val="18"/>
    </w:rPr>
  </w:style>
  <w:style w:type="paragraph" w:styleId="8">
    <w:name w:val="header"/>
    <w:basedOn w:val="1"/>
    <w:link w:val="26"/>
    <w:uiPriority w:val="99"/>
    <w:pPr>
      <w:pBdr>
        <w:bottom w:val="single" w:color="auto" w:sz="6" w:space="1"/>
      </w:pBdr>
      <w:tabs>
        <w:tab w:val="center" w:pos="4153"/>
        <w:tab w:val="right" w:pos="8307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semiHidden/>
    <w:qFormat/>
    <w:uiPriority w:val="99"/>
  </w:style>
  <w:style w:type="paragraph" w:styleId="10">
    <w:name w:val="Normal (Web)"/>
    <w:basedOn w:val="1"/>
    <w:uiPriority w:val="99"/>
    <w:pPr>
      <w:spacing w:before="100" w:beforeAutospacing="1" w:after="100" w:afterAutospacing="1"/>
    </w:pPr>
  </w:style>
  <w:style w:type="paragraph" w:styleId="11">
    <w:name w:val="Body Text First Indent"/>
    <w:basedOn w:val="5"/>
    <w:next w:val="12"/>
    <w:link w:val="23"/>
    <w:qFormat/>
    <w:uiPriority w:val="99"/>
    <w:pPr>
      <w:ind w:firstLine="664"/>
      <w:jc w:val="both"/>
    </w:pPr>
    <w:rPr>
      <w:rFonts w:ascii="Times New Roman" w:cs="Times New Roman"/>
      <w:sz w:val="21"/>
      <w:szCs w:val="21"/>
    </w:rPr>
  </w:style>
  <w:style w:type="paragraph" w:customStyle="1" w:styleId="12">
    <w:name w:val="Normal1"/>
    <w:next w:val="9"/>
    <w:qFormat/>
    <w:uiPriority w:val="99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13">
    <w:name w:val="Body Text First Indent 2"/>
    <w:basedOn w:val="6"/>
    <w:next w:val="9"/>
    <w:link w:val="25"/>
    <w:qFormat/>
    <w:uiPriority w:val="99"/>
    <w:pPr>
      <w:spacing w:after="0"/>
      <w:ind w:left="200" w:firstLine="200" w:firstLineChars="200"/>
      <w:jc w:val="both"/>
    </w:pPr>
    <w:rPr>
      <w:rFonts w:ascii="Times New Roman" w:cs="Times New Roman"/>
      <w:sz w:val="21"/>
      <w:szCs w:val="21"/>
    </w:rPr>
  </w:style>
  <w:style w:type="character" w:styleId="16">
    <w:name w:val="Strong"/>
    <w:basedOn w:val="15"/>
    <w:qFormat/>
    <w:uiPriority w:val="99"/>
    <w:rPr>
      <w:b/>
      <w:bCs/>
    </w:rPr>
  </w:style>
  <w:style w:type="character" w:styleId="17">
    <w:name w:val="FollowedHyperlink"/>
    <w:basedOn w:val="15"/>
    <w:qFormat/>
    <w:uiPriority w:val="99"/>
    <w:rPr>
      <w:color w:val="800080"/>
      <w:u w:val="single"/>
    </w:rPr>
  </w:style>
  <w:style w:type="character" w:styleId="18">
    <w:name w:val="Hyperlink"/>
    <w:basedOn w:val="15"/>
    <w:uiPriority w:val="99"/>
    <w:rPr>
      <w:color w:val="0000FF"/>
      <w:u w:val="single"/>
    </w:rPr>
  </w:style>
  <w:style w:type="character" w:customStyle="1" w:styleId="19">
    <w:name w:val="Heading 1 Char"/>
    <w:basedOn w:val="15"/>
    <w:link w:val="2"/>
    <w:uiPriority w:val="9"/>
    <w:rPr>
      <w:rFonts w:ascii="宋体" w:cs="宋体"/>
      <w:b/>
      <w:bCs/>
      <w:kern w:val="44"/>
      <w:sz w:val="44"/>
      <w:szCs w:val="44"/>
    </w:rPr>
  </w:style>
  <w:style w:type="character" w:customStyle="1" w:styleId="20">
    <w:name w:val="Heading 2 Char"/>
    <w:basedOn w:val="15"/>
    <w:link w:val="3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">
    <w:name w:val="Heading 3 Char"/>
    <w:basedOn w:val="15"/>
    <w:link w:val="4"/>
    <w:semiHidden/>
    <w:uiPriority w:val="9"/>
    <w:rPr>
      <w:rFonts w:ascii="宋体" w:cs="宋体"/>
      <w:b/>
      <w:bCs/>
      <w:sz w:val="32"/>
      <w:szCs w:val="32"/>
    </w:rPr>
  </w:style>
  <w:style w:type="character" w:customStyle="1" w:styleId="22">
    <w:name w:val="Body Text Char"/>
    <w:basedOn w:val="15"/>
    <w:link w:val="5"/>
    <w:semiHidden/>
    <w:qFormat/>
    <w:uiPriority w:val="99"/>
    <w:rPr>
      <w:rFonts w:ascii="宋体" w:cs="宋体"/>
      <w:sz w:val="24"/>
      <w:szCs w:val="24"/>
    </w:rPr>
  </w:style>
  <w:style w:type="character" w:customStyle="1" w:styleId="23">
    <w:name w:val="Body Text First Indent Char"/>
    <w:basedOn w:val="22"/>
    <w:link w:val="11"/>
    <w:semiHidden/>
    <w:qFormat/>
    <w:uiPriority w:val="99"/>
  </w:style>
  <w:style w:type="character" w:customStyle="1" w:styleId="24">
    <w:name w:val="Body Text Indent Char"/>
    <w:basedOn w:val="15"/>
    <w:link w:val="6"/>
    <w:semiHidden/>
    <w:qFormat/>
    <w:uiPriority w:val="99"/>
    <w:rPr>
      <w:rFonts w:ascii="宋体" w:cs="宋体"/>
      <w:sz w:val="24"/>
      <w:szCs w:val="24"/>
    </w:rPr>
  </w:style>
  <w:style w:type="character" w:customStyle="1" w:styleId="25">
    <w:name w:val="Body Text First Indent 2 Char"/>
    <w:basedOn w:val="24"/>
    <w:link w:val="13"/>
    <w:semiHidden/>
    <w:qFormat/>
    <w:uiPriority w:val="99"/>
  </w:style>
  <w:style w:type="character" w:customStyle="1" w:styleId="26">
    <w:name w:val="Header Char"/>
    <w:basedOn w:val="15"/>
    <w:link w:val="8"/>
    <w:semiHidden/>
    <w:uiPriority w:val="99"/>
    <w:rPr>
      <w:rFonts w:ascii="宋体" w:cs="宋体"/>
      <w:sz w:val="18"/>
      <w:szCs w:val="18"/>
    </w:rPr>
  </w:style>
  <w:style w:type="character" w:customStyle="1" w:styleId="27">
    <w:name w:val="Footer Char"/>
    <w:basedOn w:val="15"/>
    <w:link w:val="7"/>
    <w:semiHidden/>
    <w:uiPriority w:val="99"/>
    <w:rPr>
      <w:rFonts w:ascii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14</Pages>
  <Words>695</Words>
  <Characters>3968</Characters>
  <Lines>0</Lines>
  <Paragraphs>0</Paragraphs>
  <TotalTime>5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2021-12-16T01:38:00Z</dcterms:created>
  <dc:creator>Microsoft</dc:creator>
  <cp:lastModifiedBy>清欣</cp:lastModifiedBy>
  <cp:lastPrinted>2021-12-15T08:31:00Z</cp:lastPrinted>
  <dcterms:modified xsi:type="dcterms:W3CDTF">2021-12-16T02:04:34Z</dcterms:modified>
  <dc:title>永州市社会科学界联合会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BB6D3E76DC6147DFB258516EBE1C347D</vt:lpwstr>
  </property>
</Properties>
</file>