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湖南科技学院</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理学院“十四五”建设与发展规划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一、建设发展现状</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理学院在“十三五”期间紧紧围绕“</w:t>
      </w:r>
      <w:r>
        <w:rPr>
          <w:rFonts w:hint="eastAsia" w:ascii="仿宋_GB2312" w:eastAsia="仿宋_GB2312"/>
          <w:w w:val="97"/>
          <w:sz w:val="32"/>
          <w:szCs w:val="32"/>
        </w:rPr>
        <w:t>夯实基础，发扬传统，突出特色，改革创新，重点突破</w:t>
      </w:r>
      <w:r>
        <w:rPr>
          <w:rFonts w:hint="eastAsia" w:ascii="仿宋_GB2312" w:hAnsi="Arial" w:eastAsia="仿宋_GB2312" w:cs="Arial"/>
          <w:sz w:val="32"/>
          <w:szCs w:val="32"/>
        </w:rPr>
        <w:t>”的主题，根据国家高等教育政策及教育形势变化对学院发展的影响，认真落实学校发展规划纲要的各项内容，在“十二五”的基础上取得了丰硕的成果。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Arial" w:eastAsia="仿宋_GB2312" w:cs="Arial"/>
          <w:b/>
          <w:bCs/>
          <w:sz w:val="32"/>
          <w:szCs w:val="32"/>
        </w:rPr>
      </w:pPr>
      <w:r>
        <w:rPr>
          <w:rFonts w:hint="eastAsia" w:ascii="仿宋_GB2312" w:hAnsi="Arial" w:eastAsia="仿宋_GB2312" w:cs="Arial"/>
          <w:b/>
          <w:bCs/>
          <w:sz w:val="32"/>
          <w:szCs w:val="32"/>
        </w:rPr>
        <w:t>1.党建工作</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理学院党总支认真学习贯彻习近平新时代中国特色社会主义思想和党的十九大精神，坚持党的教育方针和社会主义办学方向，落实立德树人的根本任务，团结带领全院师生，聚人心、正风气、谋发展，不断加强党建和思想政治工作，紧密围绕学院发展实际，有力促进学院学科建设、人才培养、科学研究等各项事业协调稳步发展。</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学院于2018年、2020年被评为校年度目标考核优秀单位。五年间，理学院教工第一、二党支部和学生第三党支部分别被评为校</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优秀党支部</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，1名党员被评为湖南省普通高校教师党支部书记“双带头人”标兵，13名党员获得校</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优秀共产党员</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党务工作者</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称号，2名教师获得</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永州市市直机关优秀共产党员</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称号、1名学生</w:t>
      </w:r>
      <w:bookmarkStart w:id="0" w:name="_GoBack"/>
      <w:bookmarkEnd w:id="0"/>
      <w:r>
        <w:rPr>
          <w:rFonts w:hint="eastAsia" w:ascii="仿宋_GB2312" w:hAnsi="Arial" w:eastAsia="仿宋_GB2312" w:cs="Arial"/>
          <w:sz w:val="32"/>
          <w:szCs w:val="32"/>
        </w:rPr>
        <w:t>获得湖南省普通高校</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百佳大学生党员</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称号。</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Arial" w:eastAsia="仿宋_GB2312" w:cs="Arial"/>
          <w:b/>
          <w:bCs/>
          <w:sz w:val="32"/>
          <w:szCs w:val="32"/>
        </w:rPr>
      </w:pPr>
      <w:r>
        <w:rPr>
          <w:rFonts w:hint="eastAsia" w:ascii="仿宋_GB2312" w:hAnsi="Arial" w:eastAsia="仿宋_GB2312" w:cs="Arial"/>
          <w:b/>
          <w:bCs/>
          <w:sz w:val="32"/>
          <w:szCs w:val="32"/>
        </w:rPr>
        <w:t>2.人才培养</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理学院“十三五”时期以习近平新时代中国特色社会主义思想为指导，坚持立德树人根本任务、以培养担当民族复兴大任的时代新人为目标，不断提升人才培养的科学化、规范化水平，工作质量和成效显著提升。</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“十三五”期间理学院本科招生规模逐年扩大。学院现有数学与应用数学、信息与计算科学、物理学三个本科专业。2020年数学与应用数学专业被评为省一流本科专业建设点。</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学院“十三五”期间共招收本科生1264名；共培养毕业本科生1026名。1名学生获湖南省大学生百佳党员。6名本科生获得国家奖学金，140名学生获得国家励志奖学金。依托专业特色，提高大学生师范生技能、数学建模、大学数学、大学物理等学科竞赛的参与数量和质量，“十三五”期间，学院学生获省级奖68项，其中一等奖5名，二等奖10名，三等奖53名，特别是连续5年获得全省师范生技能大赛一等奖。</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经过五年的建设，学院各专业知名度和影响力得到了很大的提升。学院通过加强本科生在校期间管理，全面实施素质教育，进一步强化实践教学环节，优化人才培养方案，为社会培养了一批具有一定社会活动能力的专业技能人才。</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Arial" w:eastAsia="仿宋_GB2312" w:cs="Arial"/>
          <w:b/>
          <w:bCs/>
          <w:sz w:val="32"/>
          <w:szCs w:val="32"/>
        </w:rPr>
      </w:pPr>
      <w:r>
        <w:rPr>
          <w:rFonts w:hint="eastAsia" w:ascii="仿宋_GB2312" w:hAnsi="Arial" w:eastAsia="仿宋_GB2312" w:cs="Arial"/>
          <w:b/>
          <w:bCs/>
          <w:sz w:val="32"/>
          <w:szCs w:val="32"/>
        </w:rPr>
        <w:t>3.学科建设与科学研究</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十三五”期间理学院的学科建设稳中有升。数学学科被评为校级应用特色学科，整合了学院学科人才队伍，形成了计算数学、基础数学、应用数学和计算物理四个学科方向。发挥基础学科优势，与计算机科学和经济管理深度融合，着力打造创新型交叉学科团队，组建了机器学习研究小组、初步形成了多学科协同创新、交叉共融的学科发展模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学院共获得2项</w:t>
      </w:r>
      <w:r>
        <w:rPr>
          <w:rFonts w:hint="eastAsia" w:ascii="仿宋_GB2312" w:hAnsi="Arial" w:eastAsia="仿宋_GB2312" w:cs="Arial"/>
          <w:sz w:val="32"/>
          <w:szCs w:val="32"/>
          <w:lang w:eastAsia="zh-CN"/>
        </w:rPr>
        <w:t>国家自然科学基金</w:t>
      </w:r>
      <w:r>
        <w:rPr>
          <w:rFonts w:hint="eastAsia" w:ascii="仿宋_GB2312" w:hAnsi="Arial" w:eastAsia="仿宋_GB2312" w:cs="Arial"/>
          <w:sz w:val="32"/>
          <w:szCs w:val="32"/>
        </w:rPr>
        <w:t>、7项湖南省自然科学基金，教育厅重点项目和青年项目各2项，</w:t>
      </w:r>
      <w:r>
        <w:rPr>
          <w:rFonts w:hint="eastAsia" w:ascii="仿宋_GB2312" w:hAnsi="Arial" w:eastAsia="仿宋_GB2312" w:cs="Arial"/>
          <w:sz w:val="32"/>
          <w:szCs w:val="32"/>
          <w:lang w:eastAsia="zh-CN"/>
        </w:rPr>
        <w:t>其他</w:t>
      </w:r>
      <w:r>
        <w:rPr>
          <w:rFonts w:hint="eastAsia" w:ascii="仿宋_GB2312" w:hAnsi="Arial" w:eastAsia="仿宋_GB2312" w:cs="Arial"/>
          <w:sz w:val="32"/>
          <w:szCs w:val="32"/>
        </w:rPr>
        <w:t>省部级、地厅级项目 18项；发表科研论文80余篇，被SCI、EI和CSCD检索31篇；出版专著2部。</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Arial" w:eastAsia="仿宋_GB2312" w:cs="Arial"/>
          <w:b/>
          <w:bCs/>
          <w:sz w:val="32"/>
          <w:szCs w:val="32"/>
        </w:rPr>
      </w:pPr>
      <w:r>
        <w:rPr>
          <w:rFonts w:hint="eastAsia" w:ascii="仿宋_GB2312" w:hAnsi="Arial" w:eastAsia="仿宋_GB2312" w:cs="Arial"/>
          <w:b/>
          <w:bCs/>
          <w:sz w:val="32"/>
          <w:szCs w:val="32"/>
        </w:rPr>
        <w:t>4.师资队伍</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“十三五”期间理学院着力师资队伍建设，制定了完善的师资发展规划。学院现有</w:t>
      </w:r>
      <w:r>
        <w:rPr>
          <w:rFonts w:ascii="仿宋_GB2312" w:hAnsi="Arial" w:eastAsia="仿宋_GB2312" w:cs="Arial"/>
          <w:sz w:val="32"/>
          <w:szCs w:val="32"/>
        </w:rPr>
        <w:t>教授8人，副教授15人；博士15人；121人才工程第三层次人选1人；校英才支持计划人选2人；校青苗支持计划人选２人；湖南省青年骨干教师4人；湖南省优秀教师2人；湖南省高校青年教学能手4人，</w:t>
      </w:r>
      <w:r>
        <w:rPr>
          <w:rFonts w:hint="eastAsia" w:ascii="仿宋_GB2312" w:hAnsi="Arial" w:eastAsia="仿宋_GB2312" w:cs="Arial"/>
          <w:sz w:val="32"/>
          <w:szCs w:val="32"/>
        </w:rPr>
        <w:t>市级优秀教师1人，</w:t>
      </w:r>
      <w:r>
        <w:rPr>
          <w:rFonts w:ascii="仿宋_GB2312" w:hAnsi="Arial" w:eastAsia="仿宋_GB2312" w:cs="Arial"/>
          <w:sz w:val="32"/>
          <w:szCs w:val="32"/>
        </w:rPr>
        <w:t>校级青年教学能手8人。</w:t>
      </w:r>
      <w:r>
        <w:rPr>
          <w:rFonts w:hint="eastAsia" w:ascii="仿宋_GB2312" w:hAnsi="Arial" w:eastAsia="仿宋_GB2312" w:cs="Arial"/>
          <w:sz w:val="32"/>
          <w:szCs w:val="32"/>
        </w:rPr>
        <w:t>五年来，学院新增教授4人，副教授9人，新增兼职硕士生导师8人，引进博士10人。学院学工队伍现有5人，其中“湖南省高校辅导员年度人物”1人，</w:t>
      </w:r>
      <w:r>
        <w:rPr>
          <w:rFonts w:ascii="仿宋_GB2312" w:hAnsi="Arial" w:eastAsia="仿宋_GB2312" w:cs="Arial"/>
          <w:sz w:val="32"/>
          <w:szCs w:val="32"/>
        </w:rPr>
        <w:t xml:space="preserve"> “永州市青年岗位能手”</w:t>
      </w:r>
      <w:r>
        <w:rPr>
          <w:rFonts w:hint="eastAsia" w:ascii="仿宋_GB2312" w:hAnsi="Arial" w:eastAsia="仿宋_GB2312" w:cs="Arial"/>
          <w:sz w:val="32"/>
          <w:szCs w:val="32"/>
        </w:rPr>
        <w:t>1人。</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Arial" w:eastAsia="仿宋_GB2312" w:cs="Arial"/>
          <w:b/>
          <w:bCs/>
          <w:sz w:val="32"/>
          <w:szCs w:val="32"/>
        </w:rPr>
      </w:pPr>
      <w:r>
        <w:rPr>
          <w:rFonts w:hint="eastAsia" w:ascii="仿宋_GB2312" w:hAnsi="Arial" w:eastAsia="仿宋_GB2312" w:cs="Arial"/>
          <w:b/>
          <w:bCs/>
          <w:sz w:val="32"/>
          <w:szCs w:val="32"/>
        </w:rPr>
        <w:t>5.教学研究</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Arial" w:eastAsia="仿宋_GB2312" w:cs="Arial"/>
          <w:sz w:val="32"/>
          <w:szCs w:val="32"/>
        </w:rPr>
      </w:pPr>
      <w:r>
        <w:rPr>
          <w:rFonts w:hint="eastAsia" w:ascii="仿宋_GB2312" w:hAnsi="Arial" w:eastAsia="仿宋_GB2312" w:cs="Arial"/>
          <w:sz w:val="32"/>
          <w:szCs w:val="32"/>
        </w:rPr>
        <w:t>“十三五”期间理学院立足本科教学，新增省级教育教学研究课题9项，其他课题22项；省级一流课程3门，校级精品在线课程9门；主编出版教材5部；获得各级教学成果奖6项。3人次获得湖南省高校青年教师教学竞赛奖（廖春艳，一等奖，2018年；黄燕平，一等奖，2019；伍双武，二等奖，2020年）；1人次获得</w:t>
      </w:r>
      <w:r>
        <w:rPr>
          <w:rFonts w:ascii="仿宋_GB2312" w:hAnsi="Arial" w:eastAsia="仿宋_GB2312" w:cs="Arial"/>
          <w:sz w:val="32"/>
          <w:szCs w:val="32"/>
        </w:rPr>
        <w:t>全国高等学校物理基础课程青年教师讲课比赛中南赛区 “三等奖”</w:t>
      </w:r>
      <w:r>
        <w:rPr>
          <w:rFonts w:hint="eastAsia" w:ascii="仿宋_GB2312" w:hAnsi="Arial" w:eastAsia="仿宋_GB2312" w:cs="Arial"/>
          <w:sz w:val="32"/>
          <w:szCs w:val="32"/>
        </w:rPr>
        <w:t>（高海峡，2016年）。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Arial" w:eastAsia="仿宋_GB2312" w:cs="Arial"/>
          <w:sz w:val="32"/>
          <w:szCs w:val="32"/>
        </w:rPr>
      </w:pPr>
      <w:r>
        <w:rPr>
          <w:rFonts w:hint="eastAsia" w:ascii="仿宋_GB2312" w:hAnsi="Arial" w:eastAsia="仿宋_GB2312" w:cs="Arial"/>
          <w:b/>
          <w:bCs/>
          <w:sz w:val="32"/>
          <w:szCs w:val="32"/>
        </w:rPr>
        <w:t>1.学科发展速度缓慢，学科融合进展不快。</w:t>
      </w:r>
      <w:r>
        <w:rPr>
          <w:rFonts w:ascii="仿宋_GB2312" w:hAnsi="Arial" w:eastAsia="仿宋_GB2312" w:cs="Arial"/>
          <w:sz w:val="32"/>
          <w:szCs w:val="32"/>
        </w:rPr>
        <w:t>学院的</w:t>
      </w:r>
      <w:r>
        <w:rPr>
          <w:rFonts w:hint="eastAsia" w:ascii="仿宋_GB2312" w:hAnsi="Arial" w:eastAsia="仿宋_GB2312" w:cs="Arial"/>
          <w:sz w:val="32"/>
          <w:szCs w:val="32"/>
        </w:rPr>
        <w:t>数学学科为校级应用特色学科，其中包括了计算物理方向，但数学和物理两个学科整合形成的合力不够，且与我校其他学科协同创新还处于起步阶段。同时，随着人才的流失，整个学科的科研方向较为分散，难以形成统一或相近的学科团队。</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Arial" w:eastAsia="仿宋_GB2312" w:cs="Arial"/>
          <w:sz w:val="32"/>
          <w:szCs w:val="32"/>
        </w:rPr>
      </w:pPr>
      <w:r>
        <w:rPr>
          <w:rFonts w:hint="eastAsia" w:ascii="仿宋_GB2312" w:hAnsi="Arial" w:eastAsia="仿宋_GB2312" w:cs="Arial"/>
          <w:b/>
          <w:bCs/>
          <w:sz w:val="32"/>
          <w:szCs w:val="32"/>
        </w:rPr>
        <w:t>2.师资队伍建设喜中有忧，缺乏学科领军人才。</w:t>
      </w:r>
      <w:r>
        <w:rPr>
          <w:rFonts w:hint="eastAsia" w:ascii="仿宋_GB2312" w:hAnsi="Arial" w:eastAsia="仿宋_GB2312" w:cs="Arial"/>
          <w:sz w:val="32"/>
          <w:szCs w:val="32"/>
        </w:rPr>
        <w:t>数学、物理两个学科在高层次人才队伍方面呈现不同的发展态势，数学学科人才流失严重且人才引进难度很大，而物理学科通过人才引进已基本形成了由一批年轻的学科骨干组成的学科队伍，将迎来收获季节。但</w:t>
      </w:r>
      <w:r>
        <w:rPr>
          <w:rFonts w:ascii="仿宋_GB2312" w:hAnsi="Arial" w:eastAsia="仿宋_GB2312" w:cs="Arial"/>
          <w:sz w:val="32"/>
          <w:szCs w:val="32"/>
        </w:rPr>
        <w:t>师资队伍整体实力还较弱，高水平的学科</w:t>
      </w:r>
      <w:r>
        <w:rPr>
          <w:rFonts w:hint="eastAsia" w:ascii="仿宋_GB2312" w:hAnsi="Arial" w:eastAsia="仿宋_GB2312" w:cs="Arial"/>
          <w:sz w:val="32"/>
          <w:szCs w:val="32"/>
        </w:rPr>
        <w:t>领军人才缺乏</w:t>
      </w:r>
      <w:r>
        <w:rPr>
          <w:rFonts w:ascii="仿宋_GB2312" w:hAnsi="Arial" w:eastAsia="仿宋_GB2312" w:cs="Arial"/>
          <w:sz w:val="32"/>
          <w:szCs w:val="32"/>
        </w:rPr>
        <w:t>，</w:t>
      </w:r>
      <w:r>
        <w:rPr>
          <w:rFonts w:hint="eastAsia" w:ascii="仿宋_GB2312" w:hAnsi="Arial" w:eastAsia="仿宋_GB2312" w:cs="Arial"/>
          <w:sz w:val="32"/>
          <w:szCs w:val="32"/>
        </w:rPr>
        <w:t>需要突出内培外引，加强内部教师的快速提升，推动省优青、杰青的产生。</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Arial" w:eastAsia="仿宋_GB2312" w:cs="Arial"/>
          <w:sz w:val="32"/>
          <w:szCs w:val="32"/>
        </w:rPr>
      </w:pPr>
      <w:r>
        <w:rPr>
          <w:rFonts w:hint="eastAsia" w:ascii="仿宋_GB2312" w:hAnsi="Arial" w:eastAsia="仿宋_GB2312" w:cs="Arial"/>
          <w:b/>
          <w:bCs/>
          <w:sz w:val="32"/>
          <w:szCs w:val="32"/>
        </w:rPr>
        <w:t>3.高水平科研成果产出少，教学成果档次不高。</w:t>
      </w:r>
      <w:r>
        <w:rPr>
          <w:rFonts w:hint="eastAsia" w:ascii="仿宋_GB2312" w:hAnsi="Arial" w:eastAsia="仿宋_GB2312" w:cs="Arial"/>
          <w:sz w:val="32"/>
          <w:szCs w:val="32"/>
        </w:rPr>
        <w:t>理学院的学术圈子不大，科研成果集中在部分博士教授身上，且研究内容分散，缺少突破与亮点，“十三五”期间标志性成果偏少，特别是高影响力的论文和奖励及国家级课题数量偏少，科研成果落地转化困难。教学成果缺乏积累与凝练，前期谋划不够，特别是围绕基础教育开展的教学研究、省级教学成果奖、一流课程及国家规划教材明显欠缺。</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Arial" w:eastAsia="仿宋_GB2312" w:cs="Arial"/>
          <w:sz w:val="32"/>
          <w:szCs w:val="32"/>
        </w:rPr>
      </w:pPr>
      <w:r>
        <w:rPr>
          <w:rFonts w:hint="eastAsia" w:ascii="仿宋_GB2312" w:hAnsi="Arial" w:eastAsia="仿宋_GB2312" w:cs="Arial"/>
          <w:b/>
          <w:bCs/>
          <w:sz w:val="32"/>
          <w:szCs w:val="32"/>
        </w:rPr>
        <w:t>4.专业建设发展不平衡，专业认证工作准备不充分。</w:t>
      </w:r>
      <w:r>
        <w:rPr>
          <w:rFonts w:hint="eastAsia" w:ascii="仿宋_GB2312" w:hAnsi="Arial" w:eastAsia="仿宋_GB2312" w:cs="Arial"/>
          <w:sz w:val="32"/>
          <w:szCs w:val="32"/>
        </w:rPr>
        <w:t>理学院三个专业中只有数学与应用数学为省级一流专业建设点，与省内</w:t>
      </w:r>
      <w:r>
        <w:rPr>
          <w:rFonts w:ascii="仿宋_GB2312" w:hAnsi="Arial" w:eastAsia="仿宋_GB2312" w:cs="Arial"/>
          <w:sz w:val="32"/>
          <w:szCs w:val="32"/>
        </w:rPr>
        <w:t>同类院校的同类专业</w:t>
      </w:r>
      <w:r>
        <w:rPr>
          <w:rFonts w:hint="eastAsia" w:ascii="仿宋_GB2312" w:hAnsi="Arial" w:eastAsia="仿宋_GB2312" w:cs="Arial"/>
          <w:sz w:val="32"/>
          <w:szCs w:val="32"/>
        </w:rPr>
        <w:t>存在差距。两个师范类专业的师范专业认证工作的前期基础材料准备滞后</w:t>
      </w:r>
      <w:r>
        <w:rPr>
          <w:rFonts w:ascii="仿宋_GB2312" w:hAnsi="Arial" w:eastAsia="仿宋_GB2312" w:cs="Arial"/>
          <w:sz w:val="32"/>
          <w:szCs w:val="32"/>
        </w:rPr>
        <w:t>，专业建设的实习（践）教学环节薄弱，和社会需求联系不够紧密。</w:t>
      </w:r>
      <w:r>
        <w:rPr>
          <w:rFonts w:hint="eastAsia" w:ascii="仿宋_GB2312" w:hAnsi="Arial" w:eastAsia="仿宋_GB2312" w:cs="Arial"/>
          <w:sz w:val="32"/>
          <w:szCs w:val="32"/>
        </w:rPr>
        <w:t>学科竞赛成绩不够突出，未能取得突破。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为贯彻落实国家高等教育内涵式发展要求、促进湖南</w:t>
      </w:r>
      <w:r>
        <w:rPr>
          <w:rFonts w:ascii="仿宋_GB2312" w:hAnsi="Arial" w:eastAsia="仿宋_GB2312" w:cs="Arial"/>
          <w:kern w:val="0"/>
          <w:sz w:val="32"/>
          <w:szCs w:val="32"/>
        </w:rPr>
        <w:t>“</w:t>
      </w:r>
      <w:r>
        <w:rPr>
          <w:rFonts w:ascii="仿宋_GB2312" w:eastAsia="仿宋_GB2312"/>
          <w:kern w:val="0"/>
          <w:sz w:val="32"/>
          <w:szCs w:val="32"/>
        </w:rPr>
        <w:t>三高四新</w:t>
      </w:r>
      <w:r>
        <w:rPr>
          <w:rFonts w:ascii="仿宋_GB2312" w:hAnsi="Arial" w:eastAsia="仿宋_GB2312" w:cs="Arial"/>
          <w:kern w:val="0"/>
          <w:sz w:val="32"/>
          <w:szCs w:val="32"/>
        </w:rPr>
        <w:t>”</w:t>
      </w:r>
      <w:r>
        <w:rPr>
          <w:rFonts w:ascii="仿宋_GB2312" w:eastAsia="仿宋_GB2312"/>
          <w:kern w:val="0"/>
          <w:sz w:val="32"/>
          <w:szCs w:val="32"/>
        </w:rPr>
        <w:t>战略</w:t>
      </w:r>
      <w:r>
        <w:rPr>
          <w:rFonts w:hint="eastAsia" w:ascii="仿宋_GB2312" w:hAnsi="Arial" w:eastAsia="仿宋_GB2312" w:cs="Arial"/>
          <w:kern w:val="0"/>
          <w:sz w:val="32"/>
          <w:szCs w:val="32"/>
        </w:rPr>
        <w:t>全面实施，急需激活科技、教育、人才等创新要素，高层次人才和应用型人才需求将呈现“井喷式”增长，这些国家和社会发展战略为学院致力于建设特色高水平的数学与应用数学（师范）专业、物理学（师范）专业和信息与计算科学专业等提供了强有力的政策、制度和环境支持，为其快速发展提供了难得的历史契机。2020年初，教育部制定出台了《关于在部分高校开展基础学科招生改革试点工作的意见》，加强基础学科建设是国家战略需求，也是学校发展需要，加强基础学科建设正当其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目前，学院的学科专业水平与湖南工学院、湖南工程学院、湘南学院、湖南文理学院、长沙学院、邵阳学院、怀化学院相比还处于中游地位。在人才培养方面，专业教育与创业教育脱节，人才培养质量评价标准单一，师范教育有特色但还不突出，这些不足制约了学院应用型人才的培养。在学科和人才队伍建设方面，学科结构与布局需要进一步优化，交叉学科的深度融合需要进一步加强；师资队伍建设机制需要进一步完善，领军人才和高层次中青年优秀人才缺乏。在科学研究方面，虽然基础研究成果方显，但高质量的研究成果和科技奖项尚为空白，且应用研究、成果转化的科研方式转型尚未实现。在国际交流与合作方面，教师海外研修积极性不高，缺乏与国外一流大学和科研机构的深度实质性合作。在体制机制方面，存在着人才引进机制不灵活</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内培提升机制不完善</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薪酬激励机制不健全等。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在“十四五”期间，学院将结合地方经济社会发展，立足师范教育的特色，根据社会发展对人才需求的变化，加强与一流学科的深度融合，依托学院的基础学科优势，将不同研究方向形成一个彼此渗透、相互促进的有机整体，在学科建设与专业发展中形成自己的特色和优势，促进学科和专业的快速发展。坚持学科促人才、人才促科研、科研促教学的闭环式发展模式，把学科建设作为学院的重点工作来抓。稳定发展现有的研究方向，结合国家、省内及校内科研发展规划，拓展研究广度，加强研究深度，提高研究水平，坚持将基础研究用于应用型问题的研究方向，力争产生一批有影响的高质量研究成果，培养具有交叉学科研究能力的创新型和应用型人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二、指导思想、发展定位和建设目标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以习近平新时代中国特色社会主义思想为指导，坚持“立足地方经济社会，紧跟国家战略，支撑学校建设，促进学院发展”的指导思想，明确理学院教学、科研、学科、专业发展定位，以师资队伍建设为核心、教学和科研协同发展。以学校应用特色学科为依托，重点发展在省内同类学院中具有优势和特色、对地方经济社会发展具有重大推动作用和对我校申硕及双一流建设具有显著支撑作用的研究方向，以此带动人才培养、科学研究和社会服务的特色发展。以重点突破带动全面发展，为国家培养和输送高素质、高层次的人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（二）发展定位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坚持“以本为本、四个回归”理念，全面</w:t>
      </w:r>
      <w:r>
        <w:rPr>
          <w:rFonts w:ascii="仿宋_GB2312" w:hAnsi="Arial" w:eastAsia="仿宋_GB2312" w:cs="Arial"/>
          <w:kern w:val="0"/>
          <w:sz w:val="32"/>
          <w:szCs w:val="32"/>
        </w:rPr>
        <w:t>落实</w:t>
      </w:r>
      <w:r>
        <w:rPr>
          <w:rFonts w:ascii="仿宋_GB2312" w:eastAsia="仿宋_GB2312"/>
          <w:kern w:val="0"/>
          <w:sz w:val="32"/>
          <w:szCs w:val="32"/>
        </w:rPr>
        <w:t>立德树人根本任务</w:t>
      </w:r>
      <w:r>
        <w:rPr>
          <w:rFonts w:hint="eastAsia" w:ascii="仿宋_GB2312" w:eastAsia="仿宋_GB2312"/>
          <w:kern w:val="0"/>
          <w:sz w:val="32"/>
          <w:szCs w:val="32"/>
        </w:rPr>
        <w:t>，</w:t>
      </w:r>
      <w:r>
        <w:rPr>
          <w:rFonts w:ascii="仿宋_GB2312" w:hAnsi="Arial" w:eastAsia="仿宋_GB2312" w:cs="Arial"/>
          <w:kern w:val="0"/>
          <w:sz w:val="32"/>
          <w:szCs w:val="32"/>
        </w:rPr>
        <w:t>构建</w:t>
      </w:r>
      <w:r>
        <w:rPr>
          <w:rFonts w:hint="eastAsia" w:ascii="仿宋_GB2312" w:hAnsi="Arial" w:eastAsia="仿宋_GB2312" w:cs="Arial"/>
          <w:kern w:val="0"/>
          <w:sz w:val="32"/>
          <w:szCs w:val="32"/>
        </w:rPr>
        <w:t>“</w:t>
      </w:r>
      <w:r>
        <w:rPr>
          <w:rFonts w:ascii="仿宋_GB2312" w:eastAsia="仿宋_GB2312"/>
          <w:kern w:val="0"/>
          <w:sz w:val="32"/>
          <w:szCs w:val="32"/>
        </w:rPr>
        <w:t>五育并举</w:t>
      </w:r>
      <w:r>
        <w:rPr>
          <w:rFonts w:hint="eastAsia" w:ascii="仿宋_GB2312" w:eastAsia="仿宋_GB2312"/>
          <w:kern w:val="0"/>
          <w:sz w:val="32"/>
          <w:szCs w:val="32"/>
        </w:rPr>
        <w:t>”</w:t>
      </w:r>
      <w:r>
        <w:rPr>
          <w:rFonts w:ascii="仿宋_GB2312" w:hAnsi="Arial" w:eastAsia="仿宋_GB2312" w:cs="Arial"/>
          <w:kern w:val="0"/>
          <w:sz w:val="32"/>
          <w:szCs w:val="32"/>
        </w:rPr>
        <w:t>工作体系</w:t>
      </w:r>
      <w:r>
        <w:rPr>
          <w:rFonts w:hint="eastAsia" w:ascii="仿宋_GB2312" w:hAnsi="Arial" w:eastAsia="仿宋_GB2312" w:cs="Arial"/>
          <w:kern w:val="0"/>
          <w:sz w:val="32"/>
          <w:szCs w:val="32"/>
          <w:lang w:eastAsia="zh-CN"/>
        </w:rPr>
        <w:t>，</w:t>
      </w:r>
      <w:r>
        <w:rPr>
          <w:rFonts w:ascii="仿宋_GB2312" w:hAnsi="Arial" w:eastAsia="仿宋_GB2312" w:cs="Arial"/>
          <w:kern w:val="0"/>
          <w:sz w:val="32"/>
          <w:szCs w:val="32"/>
        </w:rPr>
        <w:t>打造</w:t>
      </w:r>
      <w:r>
        <w:rPr>
          <w:rFonts w:hint="eastAsia" w:ascii="仿宋_GB2312" w:hAnsi="Arial" w:eastAsia="仿宋_GB2312" w:cs="Arial"/>
          <w:kern w:val="0"/>
          <w:sz w:val="32"/>
          <w:szCs w:val="32"/>
        </w:rPr>
        <w:t>“</w:t>
      </w:r>
      <w:r>
        <w:rPr>
          <w:rFonts w:ascii="仿宋_GB2312" w:eastAsia="仿宋_GB2312"/>
          <w:kern w:val="0"/>
          <w:sz w:val="32"/>
          <w:szCs w:val="32"/>
        </w:rPr>
        <w:t>三全育人</w:t>
      </w:r>
      <w:r>
        <w:rPr>
          <w:rFonts w:hint="eastAsia" w:ascii="仿宋_GB2312" w:hAnsi="Arial" w:eastAsia="仿宋_GB2312" w:cs="Arial"/>
          <w:kern w:val="0"/>
          <w:sz w:val="32"/>
          <w:szCs w:val="32"/>
        </w:rPr>
        <w:t>”</w:t>
      </w:r>
      <w:r>
        <w:rPr>
          <w:rFonts w:ascii="仿宋_GB2312" w:hAnsi="Arial" w:eastAsia="仿宋_GB2312" w:cs="Arial"/>
          <w:kern w:val="0"/>
          <w:sz w:val="32"/>
          <w:szCs w:val="32"/>
        </w:rPr>
        <w:t>新格局</w:t>
      </w:r>
      <w:r>
        <w:rPr>
          <w:rFonts w:hint="eastAsia" w:ascii="仿宋_GB2312" w:hAnsi="Arial" w:eastAsia="仿宋_GB2312" w:cs="Arial"/>
          <w:kern w:val="0"/>
          <w:sz w:val="32"/>
          <w:szCs w:val="32"/>
        </w:rPr>
        <w:t>。规范引导、协同育人、特色发展，加快国家一流课程，一流专业，一流名师，一流成果的建设，全方位多角度一体化协同育人。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加快学科建设及高水平成果产出，提升数学学科及物理学科的建设水平，将数学学科建设成为国内知名、省内一流的学科。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（三）建设目标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力争通过“十四五”的建设和发展，使学院学科建设实现重大突破，科学研究取得重大进展，师资队伍结构进一步改善，人才培养质量进一步提高，特色更加明显，综合实力明显增强，将理学院建设成为在省内同类院校中有重要影响力的教学研究型学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1.以一流专业为支撑</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一流教师为引领</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一流课程为助力，促进师范教育类创新人才培养模式的改革与实践。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2.坚持立德树人，发挥科研引领，深化课程改革，着力品行养成，构建高素质应用型人才一流培养平台。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3.加强师资队伍建设，突出青年人才的发展，着力培养领军人才，引领学科内涵式发展。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4.教研融合，科教一体，加快一流教学成果的产出。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5.准确定位，学科互融，加强高水平科研成果产出，力争省级科研平台和科技奖项的突破。</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Arial" w:eastAsia="仿宋_GB2312" w:cs="Arial"/>
          <w:b/>
          <w:kern w:val="0"/>
          <w:sz w:val="28"/>
          <w:szCs w:val="28"/>
        </w:rPr>
      </w:pPr>
      <w:r>
        <w:rPr>
          <w:rFonts w:hint="eastAsia" w:ascii="仿宋_GB2312" w:hAnsi="Arial" w:eastAsia="仿宋_GB2312" w:cs="Arial"/>
          <w:b/>
          <w:kern w:val="0"/>
          <w:sz w:val="28"/>
          <w:szCs w:val="28"/>
        </w:rPr>
        <w:t>理学院“十四五”规划分年度建设目标一览表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835"/>
        <w:gridCol w:w="708"/>
        <w:gridCol w:w="993"/>
        <w:gridCol w:w="708"/>
        <w:gridCol w:w="709"/>
        <w:gridCol w:w="709"/>
        <w:gridCol w:w="709"/>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建设</w:t>
            </w:r>
            <w:r>
              <w:rPr>
                <w:rFonts w:ascii="仿宋" w:hAnsi="仿宋" w:eastAsia="仿宋" w:cs="宋体"/>
                <w:b/>
                <w:bCs/>
                <w:szCs w:val="21"/>
              </w:rPr>
              <w:t>类型</w:t>
            </w:r>
          </w:p>
        </w:tc>
        <w:tc>
          <w:tcPr>
            <w:tcW w:w="28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指标</w:t>
            </w:r>
            <w:r>
              <w:rPr>
                <w:rFonts w:ascii="仿宋" w:hAnsi="仿宋" w:eastAsia="仿宋" w:cs="宋体"/>
                <w:b/>
                <w:bCs/>
                <w:szCs w:val="21"/>
              </w:rPr>
              <w:t>名称</w:t>
            </w:r>
          </w:p>
        </w:tc>
        <w:tc>
          <w:tcPr>
            <w:tcW w:w="70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现有</w:t>
            </w:r>
            <w:r>
              <w:rPr>
                <w:rFonts w:ascii="仿宋" w:hAnsi="仿宋" w:eastAsia="仿宋" w:cs="宋体"/>
                <w:b/>
                <w:bCs/>
                <w:szCs w:val="21"/>
              </w:rPr>
              <w:t>数值</w:t>
            </w:r>
          </w:p>
        </w:tc>
        <w:tc>
          <w:tcPr>
            <w:tcW w:w="99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增量</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ascii="仿宋" w:hAnsi="仿宋" w:eastAsia="仿宋" w:cs="宋体"/>
                <w:b/>
                <w:bCs/>
                <w:szCs w:val="21"/>
              </w:rPr>
              <w:t>数值</w:t>
            </w:r>
          </w:p>
        </w:tc>
        <w:tc>
          <w:tcPr>
            <w:tcW w:w="3543" w:type="dxa"/>
            <w:gridSpan w:val="5"/>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分年度</w:t>
            </w:r>
            <w:r>
              <w:rPr>
                <w:rFonts w:ascii="仿宋" w:hAnsi="仿宋" w:eastAsia="仿宋" w:cs="宋体"/>
                <w:b/>
                <w:bCs/>
                <w:szCs w:val="21"/>
              </w:rPr>
              <w:t>数值</w:t>
            </w:r>
          </w:p>
        </w:tc>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指标</w:t>
            </w:r>
            <w:r>
              <w:rPr>
                <w:rFonts w:ascii="仿宋" w:hAnsi="仿宋" w:eastAsia="仿宋" w:cs="宋体"/>
                <w:b/>
                <w:bCs/>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99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2021年</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2022年</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2023年</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2024年</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2025年</w:t>
            </w:r>
          </w:p>
        </w:tc>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师资</w:t>
            </w:r>
            <w:r>
              <w:rPr>
                <w:rFonts w:ascii="仿宋" w:hAnsi="仿宋" w:eastAsia="仿宋" w:cs="宋体"/>
                <w:b/>
                <w:bCs/>
                <w:szCs w:val="21"/>
              </w:rPr>
              <w:t>队伍建设</w:t>
            </w: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专任</w:t>
            </w:r>
            <w:r>
              <w:rPr>
                <w:rFonts w:ascii="仿宋" w:hAnsi="仿宋" w:eastAsia="仿宋" w:cs="宋体"/>
                <w:bCs/>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46</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14</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教授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8</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7</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副教授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15</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博士</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15</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w:t>
            </w:r>
            <w:r>
              <w:rPr>
                <w:rFonts w:ascii="仿宋" w:hAnsi="仿宋" w:eastAsia="仿宋" w:cs="宋体"/>
                <w:bCs/>
                <w:szCs w:val="21"/>
              </w:rPr>
              <w:t>湖湘青年英才</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青年骨干教师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4</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校英才支持</w:t>
            </w:r>
            <w:r>
              <w:rPr>
                <w:rFonts w:ascii="仿宋" w:hAnsi="仿宋" w:eastAsia="仿宋" w:cs="宋体"/>
                <w:bCs/>
                <w:szCs w:val="21"/>
              </w:rPr>
              <w:t>计划</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校</w:t>
            </w:r>
            <w:r>
              <w:rPr>
                <w:rFonts w:ascii="仿宋" w:hAnsi="仿宋" w:eastAsia="仿宋" w:cs="宋体"/>
                <w:bCs/>
                <w:szCs w:val="21"/>
              </w:rPr>
              <w:t>青苗支持计划</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“双师双能型”</w:t>
            </w:r>
            <w:r>
              <w:rPr>
                <w:rFonts w:ascii="仿宋" w:hAnsi="仿宋" w:eastAsia="仿宋" w:cs="宋体"/>
                <w:bCs/>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5</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省级“121人才工程”</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硕导或兼职硕导</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8</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教学竞赛</w:t>
            </w:r>
            <w:r>
              <w:rPr>
                <w:rFonts w:hint="eastAsia" w:ascii="仿宋" w:hAnsi="仿宋" w:eastAsia="仿宋" w:cs="宋体"/>
                <w:bCs/>
                <w:szCs w:val="21"/>
              </w:rPr>
              <w:t>获奖</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国</w:t>
            </w:r>
            <w:r>
              <w:rPr>
                <w:rFonts w:ascii="仿宋" w:hAnsi="仿宋" w:eastAsia="仿宋" w:cs="宋体"/>
                <w:bCs/>
                <w:szCs w:val="21"/>
              </w:rPr>
              <w:t>（</w:t>
            </w:r>
            <w:r>
              <w:rPr>
                <w:rFonts w:hint="eastAsia" w:ascii="仿宋" w:hAnsi="仿宋" w:eastAsia="仿宋" w:cs="宋体"/>
                <w:bCs/>
                <w:szCs w:val="21"/>
              </w:rPr>
              <w:t>境</w:t>
            </w:r>
            <w:r>
              <w:rPr>
                <w:rFonts w:ascii="仿宋" w:hAnsi="仿宋" w:eastAsia="仿宋" w:cs="宋体"/>
                <w:bCs/>
                <w:szCs w:val="21"/>
              </w:rPr>
              <w:t>）</w:t>
            </w:r>
            <w:r>
              <w:rPr>
                <w:rFonts w:hint="eastAsia" w:ascii="仿宋" w:hAnsi="仿宋" w:eastAsia="仿宋" w:cs="宋体"/>
                <w:bCs/>
                <w:szCs w:val="21"/>
              </w:rPr>
              <w:t>外</w:t>
            </w:r>
            <w:r>
              <w:rPr>
                <w:rFonts w:ascii="仿宋" w:hAnsi="仿宋" w:eastAsia="仿宋" w:cs="宋体"/>
                <w:bCs/>
                <w:szCs w:val="21"/>
              </w:rPr>
              <w:t>交流学习</w:t>
            </w:r>
            <w:r>
              <w:rPr>
                <w:rFonts w:hint="eastAsia" w:ascii="仿宋" w:hAnsi="仿宋" w:eastAsia="仿宋" w:cs="宋体"/>
                <w:bCs/>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4</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人才</w:t>
            </w:r>
            <w:r>
              <w:rPr>
                <w:rFonts w:ascii="仿宋" w:hAnsi="仿宋" w:eastAsia="仿宋" w:cs="宋体"/>
                <w:b/>
                <w:bCs/>
                <w:szCs w:val="21"/>
              </w:rPr>
              <w:t>培养</w:t>
            </w: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全日制</w:t>
            </w:r>
            <w:r>
              <w:rPr>
                <w:rFonts w:ascii="仿宋" w:hAnsi="仿宋" w:eastAsia="仿宋" w:cs="宋体"/>
                <w:bCs/>
                <w:szCs w:val="21"/>
              </w:rPr>
              <w:t>本科</w:t>
            </w:r>
            <w:r>
              <w:rPr>
                <w:rFonts w:hint="eastAsia" w:ascii="仿宋" w:hAnsi="仿宋" w:eastAsia="仿宋" w:cs="宋体"/>
                <w:bCs/>
                <w:szCs w:val="21"/>
              </w:rPr>
              <w:t>生</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1160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1200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1300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w:t>
            </w:r>
            <w:r>
              <w:rPr>
                <w:rFonts w:ascii="仿宋" w:hAnsi="仿宋" w:eastAsia="仿宋" w:cs="宋体"/>
                <w:bCs/>
                <w:szCs w:val="21"/>
              </w:rPr>
              <w:t>0</w:t>
            </w: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w:t>
            </w:r>
            <w:r>
              <w:rPr>
                <w:rFonts w:ascii="仿宋" w:hAnsi="仿宋" w:eastAsia="仿宋" w:cs="宋体"/>
                <w:bCs/>
                <w:szCs w:val="21"/>
              </w:rPr>
              <w:t>0</w:t>
            </w: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1300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本科</w:t>
            </w:r>
            <w:r>
              <w:rPr>
                <w:rFonts w:ascii="仿宋" w:hAnsi="仿宋" w:eastAsia="仿宋" w:cs="宋体"/>
                <w:bCs/>
                <w:szCs w:val="21"/>
              </w:rPr>
              <w:t>专业数</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国家</w:t>
            </w:r>
            <w:r>
              <w:rPr>
                <w:rFonts w:ascii="仿宋" w:hAnsi="仿宋" w:eastAsia="仿宋" w:cs="宋体"/>
                <w:bCs/>
                <w:szCs w:val="21"/>
              </w:rPr>
              <w:t>级一流课程</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一流课程</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教学成果奖</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教改项目</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学科</w:t>
            </w:r>
            <w:r>
              <w:rPr>
                <w:rFonts w:ascii="仿宋" w:hAnsi="仿宋" w:eastAsia="仿宋" w:cs="宋体"/>
                <w:bCs/>
                <w:szCs w:val="21"/>
              </w:rPr>
              <w:t>竞赛</w:t>
            </w:r>
            <w:r>
              <w:rPr>
                <w:rFonts w:hint="eastAsia" w:ascii="仿宋" w:hAnsi="仿宋" w:eastAsia="仿宋" w:cs="宋体"/>
                <w:bCs/>
                <w:szCs w:val="21"/>
              </w:rPr>
              <w:t>省级</w:t>
            </w:r>
            <w:r>
              <w:rPr>
                <w:rFonts w:ascii="仿宋" w:hAnsi="仿宋" w:eastAsia="仿宋" w:cs="宋体"/>
                <w:bCs/>
                <w:szCs w:val="21"/>
              </w:rPr>
              <w:t>及以上获奖</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考研录取率</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14%</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国</w:t>
            </w:r>
            <w:r>
              <w:rPr>
                <w:rFonts w:ascii="仿宋" w:hAnsi="仿宋" w:eastAsia="仿宋" w:cs="宋体"/>
                <w:bCs/>
                <w:szCs w:val="21"/>
              </w:rPr>
              <w:t>（</w:t>
            </w:r>
            <w:r>
              <w:rPr>
                <w:rFonts w:hint="eastAsia" w:ascii="仿宋" w:hAnsi="仿宋" w:eastAsia="仿宋" w:cs="宋体"/>
                <w:bCs/>
                <w:szCs w:val="21"/>
              </w:rPr>
              <w:t>境</w:t>
            </w:r>
            <w:r>
              <w:rPr>
                <w:rFonts w:ascii="仿宋" w:hAnsi="仿宋" w:eastAsia="仿宋" w:cs="宋体"/>
                <w:bCs/>
                <w:szCs w:val="21"/>
              </w:rPr>
              <w:t>）</w:t>
            </w:r>
            <w:r>
              <w:rPr>
                <w:rFonts w:hint="eastAsia" w:ascii="仿宋" w:hAnsi="仿宋" w:eastAsia="仿宋" w:cs="宋体"/>
                <w:bCs/>
                <w:szCs w:val="21"/>
              </w:rPr>
              <w:t>外</w:t>
            </w:r>
            <w:r>
              <w:rPr>
                <w:rFonts w:ascii="仿宋" w:hAnsi="仿宋" w:eastAsia="仿宋" w:cs="宋体"/>
                <w:bCs/>
                <w:szCs w:val="21"/>
              </w:rPr>
              <w:t>交流学习学生数</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联合</w:t>
            </w:r>
            <w:r>
              <w:rPr>
                <w:rFonts w:ascii="仿宋" w:hAnsi="仿宋" w:eastAsia="仿宋" w:cs="宋体"/>
                <w:bCs/>
                <w:szCs w:val="21"/>
              </w:rPr>
              <w:t>培养研究生</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27</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6</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6</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7</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创新</w:t>
            </w:r>
            <w:r>
              <w:rPr>
                <w:rFonts w:ascii="仿宋" w:hAnsi="仿宋" w:eastAsia="仿宋" w:cs="宋体"/>
                <w:bCs/>
                <w:szCs w:val="21"/>
              </w:rPr>
              <w:t>创业比赛省级以上奖励</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学生</w:t>
            </w:r>
            <w:r>
              <w:rPr>
                <w:rFonts w:ascii="仿宋" w:hAnsi="仿宋" w:eastAsia="仿宋" w:cs="宋体"/>
                <w:bCs/>
                <w:szCs w:val="21"/>
              </w:rPr>
              <w:t>发表论文</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r>
              <w:rPr>
                <w:rFonts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4</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6</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7</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8</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毕业生一次性就业率</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90%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88</w:t>
            </w:r>
            <w:r>
              <w:rPr>
                <w:rFonts w:ascii="仿宋" w:hAnsi="仿宋" w:eastAsia="仿宋" w:cs="宋体"/>
                <w:bCs/>
                <w:szCs w:val="21"/>
              </w:rPr>
              <w:t>%</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89</w:t>
            </w:r>
            <w:r>
              <w:rPr>
                <w:rFonts w:ascii="仿宋" w:hAnsi="仿宋" w:eastAsia="仿宋" w:cs="宋体"/>
                <w:bCs/>
                <w:szCs w:val="21"/>
              </w:rPr>
              <w:t>%</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ascii="仿宋" w:hAnsi="仿宋" w:eastAsia="仿宋" w:cs="宋体"/>
                <w:bCs/>
                <w:szCs w:val="21"/>
              </w:rPr>
              <w:t>90%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ascii="仿宋" w:hAnsi="仿宋" w:eastAsia="仿宋" w:cs="宋体"/>
                <w:bCs/>
                <w:szCs w:val="21"/>
              </w:rPr>
              <w:t>90%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ascii="仿宋" w:hAnsi="仿宋" w:eastAsia="仿宋" w:cs="宋体"/>
                <w:bCs/>
                <w:szCs w:val="21"/>
              </w:rPr>
              <w:t>9</w:t>
            </w:r>
            <w:r>
              <w:rPr>
                <w:rFonts w:hint="eastAsia" w:ascii="仿宋" w:hAnsi="仿宋" w:eastAsia="仿宋" w:cs="宋体"/>
                <w:bCs/>
                <w:szCs w:val="21"/>
              </w:rPr>
              <w:t>0</w:t>
            </w:r>
            <w:r>
              <w:rPr>
                <w:rFonts w:ascii="仿宋" w:hAnsi="仿宋" w:eastAsia="仿宋" w:cs="宋体"/>
                <w:bCs/>
                <w:szCs w:val="21"/>
              </w:rPr>
              <w:t>%</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学科</w:t>
            </w:r>
            <w:r>
              <w:rPr>
                <w:rFonts w:ascii="仿宋" w:hAnsi="仿宋" w:eastAsia="仿宋" w:cs="宋体"/>
                <w:b/>
                <w:bCs/>
                <w:szCs w:val="21"/>
              </w:rPr>
              <w:t>与学位点建设</w:t>
            </w: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应用特色学科</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校级</w:t>
            </w:r>
            <w:r>
              <w:rPr>
                <w:rFonts w:ascii="仿宋" w:hAnsi="仿宋" w:eastAsia="仿宋" w:cs="宋体"/>
                <w:bCs/>
                <w:szCs w:val="21"/>
              </w:rPr>
              <w:t>应用特色学科</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专业</w:t>
            </w:r>
            <w:r>
              <w:rPr>
                <w:rFonts w:ascii="仿宋" w:hAnsi="仿宋" w:eastAsia="仿宋" w:cs="宋体"/>
                <w:bCs/>
                <w:szCs w:val="21"/>
              </w:rPr>
              <w:t>学位硕士点</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国家级一流专业</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省级一流专业</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r>
              <w:rPr>
                <w:rFonts w:hint="eastAsia" w:ascii="仿宋" w:hAnsi="仿宋" w:eastAsia="仿宋" w:cs="宋体"/>
                <w:b/>
                <w:bCs/>
                <w:szCs w:val="21"/>
              </w:rPr>
              <w:t>科学</w:t>
            </w:r>
            <w:r>
              <w:rPr>
                <w:rFonts w:ascii="仿宋" w:hAnsi="仿宋" w:eastAsia="仿宋" w:cs="宋体"/>
                <w:b/>
                <w:bCs/>
                <w:szCs w:val="21"/>
              </w:rPr>
              <w:t>研究与社会服务</w:t>
            </w: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国家自科基金</w:t>
            </w:r>
            <w:r>
              <w:rPr>
                <w:rFonts w:ascii="仿宋" w:hAnsi="仿宋" w:eastAsia="仿宋" w:cs="宋体"/>
                <w:bCs/>
                <w:szCs w:val="21"/>
              </w:rPr>
              <w:t>项目</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2</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省部级科研项目</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9</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23</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5</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省级优青</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省级杰青</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课题经费</w:t>
            </w:r>
            <w:r>
              <w:rPr>
                <w:rFonts w:hint="eastAsia" w:ascii="仿宋" w:hAnsi="仿宋" w:eastAsia="仿宋" w:cs="宋体"/>
                <w:bCs/>
                <w:szCs w:val="21"/>
              </w:rPr>
              <w:t>（含</w:t>
            </w:r>
            <w:r>
              <w:rPr>
                <w:rFonts w:ascii="仿宋" w:hAnsi="仿宋" w:eastAsia="仿宋" w:cs="宋体"/>
                <w:bCs/>
                <w:szCs w:val="21"/>
              </w:rPr>
              <w:t>横向</w:t>
            </w:r>
            <w:r>
              <w:rPr>
                <w:rFonts w:hint="eastAsia" w:ascii="仿宋" w:hAnsi="仿宋" w:eastAsia="仿宋" w:cs="宋体"/>
                <w:bCs/>
                <w:szCs w:val="21"/>
              </w:rPr>
              <w:t>）</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1</w:t>
            </w:r>
            <w:r>
              <w:rPr>
                <w:rFonts w:hint="eastAsia" w:ascii="仿宋" w:hAnsi="仿宋" w:eastAsia="仿宋" w:cs="宋体"/>
                <w:bCs/>
                <w:szCs w:val="21"/>
              </w:rPr>
              <w:t>500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w:t>
            </w:r>
            <w:r>
              <w:rPr>
                <w:rFonts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w:t>
            </w:r>
            <w:r>
              <w:rPr>
                <w:rFonts w:ascii="仿宋" w:hAnsi="仿宋" w:eastAsia="仿宋" w:cs="宋体"/>
                <w:bCs/>
                <w:szCs w:val="21"/>
              </w:rPr>
              <w:t>00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w:t>
            </w:r>
            <w:r>
              <w:rPr>
                <w:rFonts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300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300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省级</w:t>
            </w:r>
            <w:r>
              <w:rPr>
                <w:rFonts w:ascii="仿宋" w:hAnsi="仿宋" w:eastAsia="仿宋" w:cs="宋体"/>
                <w:bCs/>
                <w:szCs w:val="21"/>
              </w:rPr>
              <w:t>科研平台（</w:t>
            </w:r>
            <w:r>
              <w:rPr>
                <w:rFonts w:hint="eastAsia" w:ascii="仿宋" w:hAnsi="仿宋" w:eastAsia="仿宋" w:cs="宋体"/>
                <w:bCs/>
                <w:szCs w:val="21"/>
              </w:rPr>
              <w:t>创新</w:t>
            </w:r>
            <w:r>
              <w:rPr>
                <w:rFonts w:ascii="仿宋" w:hAnsi="仿宋" w:eastAsia="仿宋" w:cs="宋体"/>
                <w:bCs/>
                <w:szCs w:val="21"/>
              </w:rPr>
              <w:t>团队）</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CSCD、SCI、EI等论文数（篇）</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70</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14</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16</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学术</w:t>
            </w:r>
            <w:r>
              <w:rPr>
                <w:rFonts w:ascii="仿宋" w:hAnsi="仿宋" w:eastAsia="仿宋" w:cs="宋体"/>
                <w:bCs/>
                <w:szCs w:val="21"/>
              </w:rPr>
              <w:t>专著</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5</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教材</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4</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
                <w:bCs/>
                <w:szCs w:val="21"/>
              </w:rPr>
            </w:pPr>
          </w:p>
        </w:tc>
        <w:tc>
          <w:tcPr>
            <w:tcW w:w="283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授权发明</w:t>
            </w:r>
            <w:r>
              <w:rPr>
                <w:rFonts w:ascii="仿宋" w:hAnsi="仿宋" w:eastAsia="仿宋" w:cs="宋体"/>
                <w:bCs/>
                <w:szCs w:val="21"/>
              </w:rPr>
              <w:t>专利</w:t>
            </w:r>
            <w:r>
              <w:rPr>
                <w:rFonts w:hint="eastAsia" w:ascii="仿宋" w:hAnsi="仿宋" w:eastAsia="仿宋" w:cs="宋体"/>
                <w:bCs/>
                <w:szCs w:val="21"/>
              </w:rPr>
              <w:t>（项）</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w:t>
            </w:r>
          </w:p>
        </w:tc>
        <w:tc>
          <w:tcPr>
            <w:tcW w:w="99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2</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0</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70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1</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pPr>
            <w:r>
              <w:rPr>
                <w:rFonts w:hint="eastAsia" w:ascii="仿宋" w:hAnsi="仿宋" w:eastAsia="仿宋" w:cs="宋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640" w:type="dxa"/>
            <w:gridSpan w:val="1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cs="宋体"/>
                <w:bCs/>
                <w:szCs w:val="21"/>
              </w:rPr>
            </w:pPr>
            <w:r>
              <w:rPr>
                <w:rFonts w:hint="eastAsia" w:ascii="仿宋" w:hAnsi="仿宋" w:eastAsia="仿宋" w:cs="宋体"/>
                <w:bCs/>
                <w:szCs w:val="21"/>
              </w:rPr>
              <w:t>注</w:t>
            </w:r>
            <w:r>
              <w:rPr>
                <w:rFonts w:ascii="仿宋" w:hAnsi="仿宋" w:eastAsia="仿宋" w:cs="宋体"/>
                <w:bCs/>
                <w:szCs w:val="21"/>
              </w:rPr>
              <w:t>：指标属性中的“</w:t>
            </w:r>
            <w:r>
              <w:rPr>
                <w:rFonts w:hint="eastAsia" w:ascii="仿宋" w:hAnsi="仿宋" w:eastAsia="仿宋" w:cs="宋体"/>
                <w:bCs/>
                <w:szCs w:val="21"/>
              </w:rPr>
              <w:t>约束性</w:t>
            </w:r>
            <w:r>
              <w:rPr>
                <w:rFonts w:ascii="仿宋" w:hAnsi="仿宋" w:eastAsia="仿宋" w:cs="宋体"/>
                <w:bCs/>
                <w:szCs w:val="21"/>
              </w:rPr>
              <w:t>”</w:t>
            </w:r>
            <w:r>
              <w:rPr>
                <w:rFonts w:hint="eastAsia" w:ascii="仿宋" w:hAnsi="仿宋" w:eastAsia="仿宋" w:cs="宋体"/>
                <w:bCs/>
                <w:szCs w:val="21"/>
              </w:rPr>
              <w:t>指</w:t>
            </w:r>
            <w:r>
              <w:rPr>
                <w:rFonts w:ascii="仿宋" w:hAnsi="仿宋" w:eastAsia="仿宋" w:cs="宋体"/>
                <w:bCs/>
                <w:szCs w:val="21"/>
              </w:rPr>
              <w:t>必须要达到的目标；“</w:t>
            </w:r>
            <w:r>
              <w:rPr>
                <w:rFonts w:hint="eastAsia" w:ascii="仿宋" w:hAnsi="仿宋" w:eastAsia="仿宋" w:cs="宋体"/>
                <w:bCs/>
                <w:szCs w:val="21"/>
              </w:rPr>
              <w:t>预期性</w:t>
            </w:r>
            <w:r>
              <w:rPr>
                <w:rFonts w:ascii="仿宋" w:hAnsi="仿宋" w:eastAsia="仿宋" w:cs="宋体"/>
                <w:bCs/>
                <w:szCs w:val="21"/>
              </w:rPr>
              <w:t>”</w:t>
            </w:r>
            <w:r>
              <w:rPr>
                <w:rFonts w:hint="eastAsia" w:ascii="仿宋" w:hAnsi="仿宋" w:eastAsia="仿宋" w:cs="宋体"/>
                <w:bCs/>
                <w:szCs w:val="21"/>
              </w:rPr>
              <w:t>是指</w:t>
            </w:r>
            <w:r>
              <w:rPr>
                <w:rFonts w:ascii="仿宋" w:hAnsi="仿宋" w:eastAsia="仿宋" w:cs="宋体"/>
                <w:bCs/>
                <w:szCs w:val="21"/>
              </w:rPr>
              <w:t>期望实现的目标</w:t>
            </w:r>
            <w:r>
              <w:rPr>
                <w:rFonts w:hint="eastAsia" w:ascii="仿宋" w:hAnsi="仿宋" w:eastAsia="仿宋" w:cs="宋体"/>
                <w:bCs/>
                <w:szCs w:val="21"/>
              </w:rPr>
              <w:t>。</w:t>
            </w:r>
          </w:p>
        </w:tc>
      </w:tr>
    </w:tbl>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Arial" w:eastAsia="仿宋_GB2312" w:cs="Arial"/>
          <w:b/>
          <w:bCs/>
          <w:sz w:val="32"/>
          <w:szCs w:val="32"/>
        </w:rPr>
      </w:pPr>
      <w:r>
        <w:rPr>
          <w:rFonts w:hint="eastAsia" w:ascii="仿宋_GB2312" w:hAnsi="Arial" w:eastAsia="仿宋_GB2312" w:cs="Arial"/>
          <w:b/>
          <w:bCs/>
          <w:sz w:val="32"/>
          <w:szCs w:val="32"/>
        </w:rPr>
        <w:t>6.特色工作目标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（1）完成数学与应用数学（师范）和物理学（师范）两个专业的师范专业二级认证工作；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（2）完成数学学科或物理学科或教育硕士的申硕工作。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三、重点建设任务与举措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（一）党建工作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理学院党总支以习近平新时代中国特色社会主义思想为指导，深入学习贯彻党的十九大精神，紧密结合学院发展实际，切实发挥党管方向的领导作用。强化党的政治属性和政治功能，坚持以上率下，</w:t>
      </w:r>
      <w:r>
        <w:rPr>
          <w:rFonts w:hint="eastAsia" w:ascii="仿宋_GB2312" w:hAnsi="宋体" w:eastAsia="仿宋_GB2312"/>
          <w:sz w:val="32"/>
          <w:szCs w:val="32"/>
          <w:lang w:val="en-US" w:eastAsia="zh-CN"/>
        </w:rPr>
        <w:t>坚持</w:t>
      </w:r>
      <w:r>
        <w:rPr>
          <w:rFonts w:hint="eastAsia" w:ascii="仿宋_GB2312" w:hAnsi="宋体" w:eastAsia="仿宋_GB2312"/>
          <w:sz w:val="32"/>
          <w:szCs w:val="32"/>
        </w:rPr>
        <w:t>“四个意识”，坚定“四个自信”，做到“两个维护”，切实把党的建设抓在经常、融入日常。</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坚持把党的政治建设摆在首位，全面增强学院党总支政治核心作用。切实加强思想建设，为学院整体发展汇聚正能量。师德师风建设常抓不懈，实时开展师德师风教育，牢记“立德树人”根本任务，增强教师教书育人本领。采取学院、各系领导听课，教师互评的方法，促进教学质量提升。通过组织参加青年教师教学大赛，开展师德师风专题讲座等，营造良好教书育人氛围。全面加强组织建设，充分发挥党支部的战斗堡垒作用，争创“样板支部”“先进党组织”，打造党建特色品牌。严肃党内政治生活，全面落实从严治党，严格执行“三会一课”制度，明确“有主题、有讨论、有共识”的组织生活要求，规范组织程序，丰富学习内容，拓宽学习渠道，体现组织生活的思想性与政治性，营造风清气正的政治生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（二）师资队伍建设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深化学院内部管理体制改革，逐步建设一支政治可靠、素质优良、知识结构合理的高水平师资队伍，为推进“双一流”建设，实现特色鲜明的地方性高水平应用型大学发展目标提供保障。一方面积极引进国内外优秀知名专家、学者参与本学科群的教学与科研工作，吸引海内外优秀博士毕业生，充实师资队伍。并采取灵活多样的形式加强与高层次人才的合作，聘请有影响的教授为兼职教授。另一方面充分发挥老教师的传、帮、带作用，切实执行导师制，引导青年教师积极参与学科专业建设。对优秀青年人才给予择优培养扶持，为青年人才成长创造良好环境，有针对性地内培5名博士，保持博士学位教师不低于25%，逐步形成一支以学科带头人为龙头，以中青年学术骨干为主体，具有稳定的研究方向和可持续发展能力的学科团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（三）人才培养建设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以“立德树人”为根本任务，落实五育并举方针，构建“五育并举”的专业人才培养方案和课程体系，加强数学与应用数学省级一流专业建设，着力将其建设成为国家级一流专业，另2个专业争取建成省级一流专业；推进一流课程建设，以国家级省级一流课程、专业核心课程为龙头构建“课程群”，建设1-</w:t>
      </w:r>
      <w:r>
        <w:rPr>
          <w:rFonts w:ascii="仿宋_GB2312" w:hAnsi="宋体" w:eastAsia="仿宋_GB2312"/>
          <w:sz w:val="32"/>
          <w:szCs w:val="32"/>
        </w:rPr>
        <w:t>2</w:t>
      </w:r>
      <w:r>
        <w:rPr>
          <w:rFonts w:hint="eastAsia" w:ascii="仿宋_GB2312" w:hAnsi="宋体" w:eastAsia="仿宋_GB2312"/>
          <w:sz w:val="32"/>
          <w:szCs w:val="32"/>
        </w:rPr>
        <w:t>门国家级一流课程，新增5门省级一流课程；推动课堂教学改革，加强教学团队建设，以学生发展为中心，更新教育理念，系统推进课堂教学改革，提升教师教育教学能力；精心培育教学成果，力争在体美劳教育模式、一流专业建设、一流课程建设、师范教育、产教深度融合、校地校企协同育人等领域获得</w:t>
      </w:r>
      <w:r>
        <w:rPr>
          <w:rFonts w:ascii="仿宋_GB2312" w:hAnsi="宋体" w:eastAsia="仿宋_GB2312"/>
          <w:sz w:val="32"/>
          <w:szCs w:val="32"/>
        </w:rPr>
        <w:t>1-2</w:t>
      </w:r>
      <w:r>
        <w:rPr>
          <w:rFonts w:hint="eastAsia" w:ascii="仿宋_GB2312" w:hAnsi="宋体" w:eastAsia="仿宋_GB2312"/>
          <w:sz w:val="32"/>
          <w:szCs w:val="32"/>
        </w:rPr>
        <w:t>项省级以上教育教学成果，建设省级以上教学平台1个。</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1.落实五育并举方针。</w:t>
      </w:r>
      <w:r>
        <w:rPr>
          <w:rFonts w:hint="eastAsia" w:ascii="仿宋_GB2312" w:hAnsi="宋体" w:eastAsia="仿宋_GB2312"/>
          <w:sz w:val="32"/>
          <w:szCs w:val="32"/>
        </w:rPr>
        <w:t>组织课程思政教学培训、教学研究、教学观摩、教案评优等活动，全面推进课程思政建设。制定体育、美育、劳动教育实施方案，帮助学生提高人文素养、健全人格意志，厚植家国情怀，丰富人生底色。</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2.创新人才培养体系。</w:t>
      </w:r>
      <w:r>
        <w:rPr>
          <w:rFonts w:hint="eastAsia" w:ascii="仿宋_GB2312" w:hAnsi="宋体" w:eastAsia="仿宋_GB2312"/>
          <w:sz w:val="32"/>
          <w:szCs w:val="32"/>
        </w:rPr>
        <w:t>以专业认证为契机，优化人才培养方案和课程体系，加强校企、校校合作，产教融合，提高应用型人才培养质量。</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3.推进一流课程建设。</w:t>
      </w:r>
      <w:r>
        <w:rPr>
          <w:rFonts w:hint="eastAsia" w:ascii="仿宋_GB2312" w:hAnsi="宋体" w:eastAsia="仿宋_GB2312"/>
          <w:sz w:val="32"/>
          <w:szCs w:val="32"/>
        </w:rPr>
        <w:t>按知识结构的相关性归类，以国家级省级一流课程、专业核心课程为龙头构建“课程群”。建设教学资源库，推进新时代优质教材和课程资源建设，实现专业核心课程网络化，构建完善的网络课程体系。改革课程考核方式，探索网络学习、线上学习、慕课等学分认定机制和办法。</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4.加强学风建设</w:t>
      </w:r>
      <w:r>
        <w:rPr>
          <w:rFonts w:hint="eastAsia" w:ascii="仿宋_GB2312" w:hAnsi="宋体" w:eastAsia="仿宋_GB2312"/>
          <w:sz w:val="32"/>
          <w:szCs w:val="32"/>
        </w:rPr>
        <w:t>。办好学院第二课堂、数学文化节和明理讲坛，营造浓厚的学院学术文化氛围，激发学生的学习、研究、实践热情。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5.强化学科竞赛活动。</w:t>
      </w:r>
      <w:r>
        <w:rPr>
          <w:rFonts w:hint="eastAsia" w:ascii="仿宋_GB2312" w:hAnsi="宋体" w:eastAsia="仿宋_GB2312"/>
          <w:sz w:val="32"/>
          <w:szCs w:val="32"/>
        </w:rPr>
        <w:t>积极指导学生参加全国大学生数学建模竞赛、湖南省师范生教学技能竞赛、湖南省大学生数学、物理竞赛等各类学科竞赛，进一步扩大学科竞赛获奖面，进一步提升获奖层次，力争竞赛中取得新的突破。</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6.突出创新创业教育。</w:t>
      </w:r>
      <w:r>
        <w:rPr>
          <w:rFonts w:hint="eastAsia" w:ascii="仿宋_GB2312" w:hAnsi="宋体" w:eastAsia="仿宋_GB2312"/>
          <w:sz w:val="32"/>
          <w:szCs w:val="32"/>
        </w:rPr>
        <w:t>将创新创业教育融入人才培养的各环节，借助创新创业竞赛项目，提高学生的创新创业意识及专业教师指导的参与度，打开学院创新创业教育的新局面。</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sz w:val="32"/>
          <w:szCs w:val="32"/>
        </w:rPr>
      </w:pPr>
      <w:r>
        <w:rPr>
          <w:rFonts w:hint="eastAsia" w:ascii="仿宋_GB2312" w:hAnsi="Arial" w:eastAsia="仿宋_GB2312" w:cs="Arial"/>
          <w:b/>
          <w:bCs/>
          <w:kern w:val="0"/>
          <w:sz w:val="32"/>
          <w:szCs w:val="32"/>
          <w:lang w:val="en-US" w:eastAsia="zh-CN" w:bidi="ar-SA"/>
        </w:rPr>
        <w:t>7.提升学生考研升学率。</w:t>
      </w:r>
      <w:r>
        <w:rPr>
          <w:rFonts w:hint="eastAsia" w:ascii="仿宋_GB2312" w:hAnsi="宋体" w:eastAsia="仿宋_GB2312"/>
          <w:sz w:val="32"/>
          <w:szCs w:val="32"/>
        </w:rPr>
        <w:t>加强考研的宣传和引导，对学生报考学校和专业进行全面把脉分析，教师全员启动对学生备考、复试及调剂的帮扶工作，力争学生考研升学率持续提高。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（四）学科建设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发挥数学和物理学基础学科优势，通力支持学校一流学科的发展建设。抓住契机，做好数学一级学科、物理学一级学科硕士点的申报与建设工作；做好学科省级应用特色学科、省级重点学科的申报与建设工作，发展学术创新，扩大成果产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1.整合资源，弥补学科短板，着力构建特色学科和优势学科</w:t>
      </w:r>
      <w:r>
        <w:rPr>
          <w:rFonts w:hint="eastAsia" w:ascii="仿宋_GB2312" w:hAnsi="宋体" w:eastAsia="仿宋_GB2312"/>
          <w:sz w:val="32"/>
          <w:szCs w:val="32"/>
          <w:lang w:eastAsia="zh-CN"/>
        </w:rPr>
        <w:t>，</w:t>
      </w:r>
      <w:r>
        <w:rPr>
          <w:rFonts w:hint="eastAsia" w:ascii="仿宋_GB2312" w:hAnsi="宋体" w:eastAsia="仿宋_GB2312"/>
          <w:sz w:val="32"/>
          <w:szCs w:val="32"/>
        </w:rPr>
        <w:t>扎实推进学科建设。加强数学与物理学科等基础学科与信息学科、医学、电子学科、材料学科和化工学科等进行深度交叉融合与资源整合，突出学科特色与学科优势，优化学科结构与学科布局，努力培植新的学科增长点，大力推进数学学科、物理学科申报省级重点学科和省级应用特色学科成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2.对标申硕指南，找出不足与短板，通过有效整合学科师资、教研成果、科研成果等各方面资源，推动数学一级学科、物理学一级学科硕士点的申报破点成功。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3.进一步</w:t>
      </w:r>
      <w:r>
        <w:rPr>
          <w:rFonts w:hint="eastAsia" w:ascii="仿宋_GB2312" w:hAnsi="宋体" w:eastAsia="仿宋_GB2312"/>
          <w:sz w:val="32"/>
          <w:szCs w:val="32"/>
          <w:lang w:eastAsia="zh-CN"/>
        </w:rPr>
        <w:t>凝练</w:t>
      </w:r>
      <w:r>
        <w:rPr>
          <w:rFonts w:hint="eastAsia" w:ascii="仿宋_GB2312" w:hAnsi="宋体" w:eastAsia="仿宋_GB2312"/>
          <w:sz w:val="32"/>
          <w:szCs w:val="32"/>
        </w:rPr>
        <w:t xml:space="preserve">学科发展方向，重点建设大数据与机器学习讨论组和临床试验医学统计讨论组，集中科研骨干，形成稳定科研方向，找到共同发力点。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加强学科队伍建设，重点培育本校教师成为青年领军人才，带动学科团队整体发展，团队协作，共同进步，形成结构合理、运转高效的人才梯队。进一步整合科研成果，制定详细申报工作计划和实施细则，争取省部级自然科学技术奖项能够获得突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（五）科学研究与社会服务建设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围绕数学、物理已有的科研团队研究方向，明确计算数学和凝聚态物理两个学科重点研究方向，推进科研平台建设，提高国家级别项目、省部级项目的申报质量和数量，确保国家级科研项目立项数，提升高质量科研成果的产出，加快学研产成果转化，加速推进科学研究服务社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1.聚焦各级科研项目申报，通过组织专家讲座，外聘专家评审项目书等方式，提高</w:t>
      </w:r>
      <w:r>
        <w:rPr>
          <w:rFonts w:hint="eastAsia" w:ascii="仿宋_GB2312" w:hAnsi="宋体" w:eastAsia="仿宋_GB2312"/>
          <w:sz w:val="32"/>
          <w:szCs w:val="32"/>
          <w:lang w:eastAsia="zh-CN"/>
        </w:rPr>
        <w:t>国家自然科学基金</w:t>
      </w:r>
      <w:r>
        <w:rPr>
          <w:rFonts w:hint="eastAsia" w:ascii="仿宋_GB2312" w:hAnsi="宋体" w:eastAsia="仿宋_GB2312"/>
          <w:sz w:val="32"/>
          <w:szCs w:val="32"/>
        </w:rPr>
        <w:t>及其他国家类课题、省部级课题申请成功率。为青年教师提供科研硬件条件，着力打造青年科研领军人才，以点带面，实现科研团队实力整体提升。加强对外交流，扩大优势学科省内、国内国际学术影响力。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进一步加强科研平台建设，推动物理学科申报省级重点实验室平台；与信工院合建计算中心，建立计算集群，从硬件上保障学科团队科研顺利开展。以计算数学方向为突破口，加强与湘潭大学数学与计算科学院深度交流，构建平台建设战略合作框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仿宋_GB2312" w:hAnsi="宋体" w:eastAsia="仿宋_GB2312"/>
          <w:sz w:val="32"/>
          <w:szCs w:val="32"/>
        </w:rPr>
        <w:t>3.承担相关行业技能培训</w:t>
      </w:r>
      <w:r>
        <w:rPr>
          <w:rFonts w:hint="eastAsia" w:ascii="仿宋_GB2312" w:hAnsi="宋体" w:eastAsia="仿宋_GB2312"/>
          <w:sz w:val="32"/>
          <w:szCs w:val="32"/>
          <w:lang w:eastAsia="zh-CN"/>
        </w:rPr>
        <w:t>，</w:t>
      </w:r>
      <w:r>
        <w:rPr>
          <w:rFonts w:hint="eastAsia" w:ascii="仿宋_GB2312" w:hAnsi="宋体" w:eastAsia="仿宋_GB2312"/>
          <w:sz w:val="32"/>
          <w:szCs w:val="32"/>
        </w:rPr>
        <w:t>与企业联合研发核心技术</w:t>
      </w:r>
      <w:r>
        <w:rPr>
          <w:rFonts w:hint="eastAsia" w:ascii="仿宋_GB2312" w:hAnsi="宋体" w:eastAsia="仿宋_GB2312"/>
          <w:sz w:val="32"/>
          <w:szCs w:val="32"/>
          <w:lang w:eastAsia="zh-CN"/>
        </w:rPr>
        <w:t>，</w:t>
      </w:r>
      <w:r>
        <w:rPr>
          <w:rFonts w:hint="eastAsia" w:ascii="仿宋_GB2312" w:hAnsi="宋体" w:eastAsia="仿宋_GB2312"/>
          <w:sz w:val="32"/>
          <w:szCs w:val="32"/>
        </w:rPr>
        <w:t>加快专利的申报和成果转化。以应用数学学科团队和计算物理学科团队为主，承接地方基础教育数学、物理学科师资培训；以计算数学学科团队为主，与相关企业联合研发大数据算法分析和数据挖掘技术及应用项目；以计算物理学科团队为主，加大专利申报的力度，并大力推进专利成果的快速转化。</w:t>
      </w:r>
    </w:p>
    <w:p>
      <w:pPr>
        <w:keepNext w:val="0"/>
        <w:keepLines w:val="0"/>
        <w:pageBreakBefore w:val="0"/>
        <w:kinsoku/>
        <w:wordWrap/>
        <w:overflowPunct/>
        <w:topLinePunct w:val="0"/>
        <w:autoSpaceDE/>
        <w:autoSpaceDN/>
        <w:bidi w:val="0"/>
        <w:adjustRightInd w:val="0"/>
        <w:snapToGrid w:val="0"/>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5D"/>
    <w:rsid w:val="00023754"/>
    <w:rsid w:val="000324D9"/>
    <w:rsid w:val="000C37AE"/>
    <w:rsid w:val="00111F8B"/>
    <w:rsid w:val="00142294"/>
    <w:rsid w:val="001A0A92"/>
    <w:rsid w:val="001B25A7"/>
    <w:rsid w:val="001F27E6"/>
    <w:rsid w:val="0029603C"/>
    <w:rsid w:val="002B1127"/>
    <w:rsid w:val="002D08D0"/>
    <w:rsid w:val="002E6769"/>
    <w:rsid w:val="003A3A29"/>
    <w:rsid w:val="003A51FA"/>
    <w:rsid w:val="004B6F41"/>
    <w:rsid w:val="0051093F"/>
    <w:rsid w:val="0056125D"/>
    <w:rsid w:val="0060209E"/>
    <w:rsid w:val="0063333B"/>
    <w:rsid w:val="00693B8A"/>
    <w:rsid w:val="006F737F"/>
    <w:rsid w:val="007542BD"/>
    <w:rsid w:val="007D6FE7"/>
    <w:rsid w:val="00857486"/>
    <w:rsid w:val="0086374B"/>
    <w:rsid w:val="0087247E"/>
    <w:rsid w:val="00892002"/>
    <w:rsid w:val="008F4A18"/>
    <w:rsid w:val="009F6A81"/>
    <w:rsid w:val="00A051E4"/>
    <w:rsid w:val="00AF62E7"/>
    <w:rsid w:val="00D22A98"/>
    <w:rsid w:val="00D31F91"/>
    <w:rsid w:val="00D427C2"/>
    <w:rsid w:val="00F34736"/>
    <w:rsid w:val="00F543A4"/>
    <w:rsid w:val="00F75204"/>
    <w:rsid w:val="00FF6E1E"/>
    <w:rsid w:val="13FA318F"/>
    <w:rsid w:val="17A076F5"/>
    <w:rsid w:val="2FD2151A"/>
    <w:rsid w:val="31175DC1"/>
    <w:rsid w:val="3303557E"/>
    <w:rsid w:val="36750AAE"/>
    <w:rsid w:val="38E1007B"/>
    <w:rsid w:val="450D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0"/>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uiPriority w:val="0"/>
    <w:rPr>
      <w:rFonts w:ascii="Calibri" w:hAnsi="Calibri" w:eastAsia="宋体" w:cs="Times New Roman"/>
      <w:sz w:val="18"/>
      <w:szCs w:val="18"/>
    </w:rPr>
  </w:style>
  <w:style w:type="character" w:customStyle="1" w:styleId="11">
    <w:name w:val="页脚 Char"/>
    <w:basedOn w:val="9"/>
    <w:link w:val="4"/>
    <w:qFormat/>
    <w:uiPriority w:val="0"/>
    <w:rPr>
      <w:rFonts w:ascii="Calibri" w:hAnsi="Calibri" w:eastAsia="宋体" w:cs="Times New Roman"/>
      <w:sz w:val="18"/>
      <w:szCs w:val="18"/>
    </w:rPr>
  </w:style>
  <w:style w:type="character" w:customStyle="1" w:styleId="12">
    <w:name w:val="页眉 Char"/>
    <w:basedOn w:val="9"/>
    <w:link w:val="5"/>
    <w:qFormat/>
    <w:uiPriority w:val="0"/>
    <w:rPr>
      <w:rFonts w:ascii="Calibri" w:hAnsi="Calibri" w:eastAsia="宋体"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1231</Words>
  <Characters>7020</Characters>
  <Lines>58</Lines>
  <Paragraphs>16</Paragraphs>
  <TotalTime>11</TotalTime>
  <ScaleCrop>false</ScaleCrop>
  <LinksUpToDate>false</LinksUpToDate>
  <CharactersWithSpaces>8235</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2021-11-01T11:42:00Z</dcterms:created>
  <dc:creator>pgos</dc:creator>
  <lastModifiedBy>黑雨</lastModifiedBy>
  <lastPrinted>2021-11-01T11:42:00Z</lastPrinted>
  <dcterms:modified xsi:type="dcterms:W3CDTF">2021-11-22T10:19:45Z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10039513F28F4CEAB6EBF79828CEAC1F</vt:lpwstr>
  </property>
</Properties>
</file>