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lang w:val="en-US" w:eastAsia="zh-CN"/>
        </w:rPr>
        <w:t>湖南科技学院</w:t>
      </w:r>
      <w:r>
        <w:rPr>
          <w:rFonts w:hint="eastAsia" w:ascii="方正小标宋简体" w:hAnsi="方正小标宋简体" w:eastAsia="方正小标宋简体" w:cs="方正小标宋简体"/>
          <w:b w:val="0"/>
          <w:bCs w:val="0"/>
          <w:sz w:val="44"/>
          <w:szCs w:val="44"/>
        </w:rPr>
        <w:t>经济与管理学院</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“十四五”建设与发展规划</w:t>
      </w:r>
    </w:p>
    <w:bookmarkEnd w:id="0"/>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主动适应区域经济社会发展和新时代高等教育高质量发展需要，根据学校“十四五”事业改革与发展规划总体要求，立足新发展阶段，贯彻新发展理念，促进学院事业高质量发展。现结合本学院实际，特制定“十四五”建设与发展规划。</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一、建设发展现状</w:t>
      </w:r>
    </w:p>
    <w:p>
      <w:pPr>
        <w:pStyle w:val="3"/>
        <w:keepNext w:val="0"/>
        <w:keepLines w:val="0"/>
        <w:pageBreakBefore w:val="0"/>
        <w:kinsoku/>
        <w:wordWrap/>
        <w:overflowPunct/>
        <w:topLinePunct w:val="0"/>
        <w:bidi w:val="0"/>
        <w:adjustRightInd w:val="0"/>
        <w:snapToGrid w:val="0"/>
        <w:spacing w:beforeAutospacing="0" w:afterAutospacing="0"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（一）“十三五”主要成绩</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五”期间，经济与管理学院在学校党委、行政的正确领导下，以习近平新时代中国特色社会主义思想为指导，坚持“四化”（人才应用化、校企合作化、服务社会化和办学国际化）办学理念，以学科建设为龙头，以专业建设为基础，以师资队伍建设为保障，以提高人才培养质量为宗旨，积极开展教育教学改革，提升教学质量和人才培养质量，扩大对外交流，增强服务区域经济发展能力，各项工作取得可喜成绩。</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1.深化人才培养模式改革，取得重大教学成果</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五”期间，围绕深化人才培养模式改革，获得湖南省高等教育教学成果奖一等奖2项，分别为《地方本科院校经管类专业校企合作人才培养模式的研究与实践》(2016年)和《地方本科院校“三融四促”创新创业人才培养模式的探索与实践》(2019年)。共获得校级教学成果一等奖2项、三等奖4项。</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2.大力培养和引进人才，教师队伍结构不断优化</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五”期末有专任教师45人，其中教授5人，占11%；副教授13人，占29%；讲师20人，占44%；助教7人，占16%。教师队伍结构得到优化。“十三五”期间共引进博士/教授23人（刚性引进10人，柔性引进13人），大力鼓励和支持青年教师攻读博士学位，现有在读博士6人。2人被评为湖南省普通高校青年骨干教师，10人获评学校“双师双能型”教师。选派教师前往国内外访学10余人，选派教师进驻企业挂职锻炼5人。</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2016年美国尼亚加拉大学商学院李天宝教授获批湖南省海外名师；2019年周前坤教授获批湖南省“芙蓉学者奖励计划”讲座教授。</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3.深入推进专业课程建设与教育教学改革，教学水平显著提升</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业和课程建设富有成效。国际经济与贸易专业获批2020年湖南省“一流本科专业”建设点，国际经济与贸易、市场营销、金融工程3个专业立项为校级“一流专业”建设点。立项省级一流课程2门，校级一流课程5门，校级精品在线开放课程4门；2门课程立项为校级“课程思政”试点课程建设项目。</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教育教学改革深入推进。坚持推进产教融合、校企合作，现与30多家企业签订校企合作协议，共建人才培养基地。立项教育部协同育人项目3项，省级教学改革研究项目5项，校级教学改革研究项目29项。</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教师教学水平大幅提升。专任教师参加教学竞赛，获得校级一等奖4人次、二等奖4人次，三等奖5人次。获得年度优秀教学质量奖1人次。</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金融模拟交易云平台实训中心、财务综合决策实训室两个项目分别于2016年、2018年获得中央财政支持地方高校发展专项资金支持，实验实训室建设迈向现代化。</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4.着力加强学科建设，学科水平和科研成果突出</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学研究平台和科研奖励取得重大突破。获得湖南省高等学校哲学社科重点研究基地1个、湖南省科学技术进步二等奖1项（《农村土地流转理论、机制与方法创新及应用》2020年）、湖南省自科杰青1项。充分利用学科优势资源，服务地方经济发展，成立了永州市经济社会发展研究所。集中力量持续推进学科建设，凝炼学科方向，汇聚人才队伍，应用经济学获学校应用特色学科立项。</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研项目和成果取得大丰收。获得省级立项课题40余项，其中湖南省社科基金项目14项（重点项目2项）、全国教育科学“十三五”规划子课题1项；发表各类学术论文230余篇，出版专著、教材23部，获得省级以上学会科研奖励40余项。</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5.打造协同育人平台，提升人才培养质量</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管类专业大学生创新创业教育中心”获得2019年湖南省普通高校创新创业教育立项；获批湖南省特色成长辅导室：“瑜你相约，相伴成长”。《构建三四四三“三全育人”工作体系》项目获学校思想政治工作质量提升工程项目综合改革试点院系立项。</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教师指导学生在省级以上刊物发表学术论文40余篇；指导学生参加各类学科竞赛获得国家级奖励11项、省级32项；指导学生参加大学生研究性学习和创新创业训练计划项目立项国家级5项、省级16项。</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三五”期间学院共培养毕业生共有2000余人，其中考上研究生100余人，200余人考上国家公务员，300余人先后考上国内各大银行；20余位同学响应号召，积极参加援疆援藏和大学生志愿服务西部计划，扎根基层干事创业。</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6.坚持“四心”党建，加强引领作用</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全面从严治党，严格按标准和规范抓实抓好党的建设，提升基层党组织的凝聚力和战斗力。学院2个教工党支部书记均达到“双带头人”标准，6个党支部全部通过永州市和学校“五化”建设合格验收。荣获学校基层党组织工作先进集体1次，党建工作样板支部1个。教职工中荣获永州市和学校优秀共产党员8人、党务先进工作者3人、共产党员标兵1人。</w:t>
      </w:r>
    </w:p>
    <w:p>
      <w:pPr>
        <w:pStyle w:val="3"/>
        <w:keepNext w:val="0"/>
        <w:keepLines w:val="0"/>
        <w:pageBreakBefore w:val="0"/>
        <w:kinsoku/>
        <w:wordWrap/>
        <w:overflowPunct/>
        <w:topLinePunct w:val="0"/>
        <w:bidi w:val="0"/>
        <w:adjustRightInd w:val="0"/>
        <w:snapToGrid w:val="0"/>
        <w:spacing w:beforeAutospacing="0" w:afterAutospacing="0"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（二）存在的主要问题</w:t>
      </w:r>
    </w:p>
    <w:p>
      <w:pPr>
        <w:keepNext w:val="0"/>
        <w:keepLines w:val="0"/>
        <w:pageBreakBefore w:val="0"/>
        <w:widowControl/>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1.师资队伍建设亟待加强。</w:t>
      </w:r>
      <w:r>
        <w:rPr>
          <w:rFonts w:hint="eastAsia" w:ascii="仿宋_GB2312" w:hAnsi="仿宋_GB2312" w:eastAsia="仿宋_GB2312" w:cs="仿宋_GB2312"/>
          <w:kern w:val="2"/>
          <w:sz w:val="32"/>
          <w:szCs w:val="32"/>
          <w:lang w:val="en-US" w:eastAsia="zh-CN" w:bidi="ar-SA"/>
        </w:rPr>
        <w:t>专业师资力量还较为薄弱，教师数量缺口较大，专任教师中高学历、高职称的教师和高层次学科带头人少，梯队建设在各学科和专业分布不均衡。现有专任教师45人，缺口约10人；教授5人，只占11%；博士9人，只占20%。</w:t>
      </w:r>
    </w:p>
    <w:p>
      <w:pPr>
        <w:keepNext w:val="0"/>
        <w:keepLines w:val="0"/>
        <w:pageBreakBefore w:val="0"/>
        <w:widowControl/>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2.学科竞争实力有待强化。</w:t>
      </w:r>
      <w:r>
        <w:rPr>
          <w:rFonts w:hint="eastAsia" w:ascii="仿宋_GB2312" w:hAnsi="仿宋_GB2312" w:eastAsia="仿宋_GB2312" w:cs="仿宋_GB2312"/>
          <w:kern w:val="2"/>
          <w:sz w:val="32"/>
          <w:szCs w:val="32"/>
          <w:lang w:val="en-US" w:eastAsia="zh-CN" w:bidi="ar-SA"/>
        </w:rPr>
        <w:t>从学科结构看，金融工程和财务管理学科相对薄弱，距所要求的学科水平存在较大差距。优势学科如应用经济学只是校级应用特色学科，还不是省级一流学科。硕士点建设离申报条件和要求还有较大差距。</w:t>
      </w:r>
    </w:p>
    <w:p>
      <w:pPr>
        <w:keepNext w:val="0"/>
        <w:keepLines w:val="0"/>
        <w:pageBreakBefore w:val="0"/>
        <w:widowControl/>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3.教研科研能力急需提高。</w:t>
      </w:r>
      <w:r>
        <w:rPr>
          <w:rFonts w:hint="eastAsia" w:ascii="仿宋_GB2312" w:hAnsi="仿宋_GB2312" w:eastAsia="仿宋_GB2312" w:cs="仿宋_GB2312"/>
          <w:kern w:val="2"/>
          <w:sz w:val="32"/>
          <w:szCs w:val="32"/>
          <w:lang w:val="en-US" w:eastAsia="zh-CN" w:bidi="ar-SA"/>
        </w:rPr>
        <w:t>标志性成果如国家级课题暂未突破，高水平奖项及高档次论文较少，出版有较大影响的学术著作数量偏少，有重大影响的应用性研究成果数量不多，推广影响力弱，教研科研整体实力急需提高。</w:t>
      </w:r>
    </w:p>
    <w:p>
      <w:pPr>
        <w:keepNext w:val="0"/>
        <w:keepLines w:val="0"/>
        <w:pageBreakBefore w:val="0"/>
        <w:widowControl/>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4.办学水平和人才培养质量有待提升。</w:t>
      </w:r>
      <w:r>
        <w:rPr>
          <w:rFonts w:hint="eastAsia" w:ascii="仿宋_GB2312" w:hAnsi="仿宋_GB2312" w:eastAsia="仿宋_GB2312" w:cs="仿宋_GB2312"/>
          <w:kern w:val="2"/>
          <w:sz w:val="32"/>
          <w:szCs w:val="32"/>
          <w:lang w:val="en-US" w:eastAsia="zh-CN" w:bidi="ar-SA"/>
        </w:rPr>
        <w:t>办学特色不够鲜明，创新人才培养模式需要进一步明晰，以提升学校办学水平和核心竞争力，增强服务社会能力。目前学院仅有“国际经济与贸易”专业为湖南省一流本科专业，没有国家级一流专业。内涵建设需进一步加强，专业建设任重道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（三）机遇与挑战</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1.发展机遇</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外部经济发展大环境为学院健康快速发展提供重要机遇。在国家提出“一带一路”战略发展布局、大力推动“粤港澳大湾区”建设和湖南省提出的“三高四新”战略背景下，努力实现经济高质量发展，增强学科专业与区域经济社会发展匹配度，需要国际经济与贸易、市场营销、金融工程、财务管理、电子商务等专业的大力支撑。</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新时代高等教育高质量发展态势为学院未来发展提出新要求。目前我国高等教育已进入普及化阶段，已由过去高速发展转向高质量发展，聚焦“双一流”建设、“四新”建设，坚持以本为本，推进“四个回归”，全面深化新时代教育评价改革和综合改革，调整学科专业结构，建设高质量教育体系。我们必须顺势而为。</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校“十四五”跨越发展为学院高质量发展提供强劲动力。“十四五”时期学校继续落实内涵式发展，建设特色鲜明的一流地方性应用型本科院校和硕士点申报的关键时期。借助学校改革发展之东风，学院将继续积极积累经验，探索新思路，为实现学院加快发展不懈努力。过去5年，学院按照“四化”办学理念，办学条件得到进一步改善，各项工作取得显著成绩，综合实力和社会影响明显增强，为学院的未来发展奠定了良好基础。</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2.面临挑战</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复杂的形势使学院发展方式面临巨大挑战。面对突如其来的新冠肺炎疫情和当今复杂多变的国际发展形势，当前我国经济社会发展处于新时代，构建新发展格局对学科专业结构、人才培养质量、科技创新水平和社会服务能力提出了更高要求。新形势下，学院面临的发展定位、人才培养、教学管理、科学研究、服务社会等诸多焦点，成为了学院亟需破解的主要难题。</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双一流”建设和硕士点申报面临巨大压力。高等教育发展进入新常态，教育现代化、教育国际化和教育信息化对高等教育理念、教育模式、教育方法和教育手段等都带来了新挑战。学校作为二本院校对标“双一流”建设，加快升硕步伐，为学院提升办学层次带来前所未有的压力。</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有办学短板使学院在实力提升上面临严峻挑战。学校作为一所地方性本科院校，区位优势不足，办学经费不足，在引进高层次和高水平人才上有较大难度。目前我院师资队伍建设问题较大，尤其金融工程、财务管理两个专业师资力量仍很薄弱。教育教学改革有待深化，人才培养质量有待提高，人才队伍建设有待加强，科学研究水平有待提升，办学条件有待改善等。</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黑体" w:hAnsi="黑体" w:eastAsia="黑体" w:cs="黑体"/>
          <w:b w:val="0"/>
          <w:bCs w:val="0"/>
          <w:kern w:val="2"/>
          <w:sz w:val="32"/>
          <w:szCs w:val="32"/>
          <w:lang w:val="zh-CN" w:eastAsia="zh-CN" w:bidi="ar-SA"/>
        </w:rPr>
      </w:pPr>
      <w:r>
        <w:rPr>
          <w:rFonts w:hint="eastAsia" w:ascii="黑体" w:hAnsi="黑体" w:eastAsia="黑体" w:cs="黑体"/>
          <w:b w:val="0"/>
          <w:bCs w:val="0"/>
          <w:kern w:val="2"/>
          <w:sz w:val="32"/>
          <w:szCs w:val="32"/>
          <w:lang w:val="en-US" w:eastAsia="zh-CN" w:bidi="ar-SA"/>
        </w:rPr>
        <w:t>二、指导思想、发展思路和建设目标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（一）指导思想</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习近平新时代中国特色社会主义思想为指导，按照学校确立的“十四五”目标，立足新发展阶段，贯彻新发展理念，构建新发展格局，继续坚持“四化”办学理念，以立德树人为根本，深入推进改革创新，切实抓好学科、专业、师资三大建设，着力提高人才培养质量，努力培养基础实、能力强、素质高，具有创新意识和创业能力的应用型经管类高级专门人才，大力推动学院各项事业再上新台阶，实现高质量发展。</w:t>
      </w:r>
    </w:p>
    <w:p>
      <w:pPr>
        <w:pStyle w:val="3"/>
        <w:keepNext w:val="0"/>
        <w:keepLines w:val="0"/>
        <w:pageBreakBefore w:val="0"/>
        <w:kinsoku/>
        <w:wordWrap/>
        <w:overflowPunct/>
        <w:topLinePunct w:val="0"/>
        <w:bidi w:val="0"/>
        <w:adjustRightInd w:val="0"/>
        <w:snapToGrid w:val="0"/>
        <w:spacing w:beforeAutospacing="0" w:afterAutospacing="0"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（二）发展思路</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继续坚持“四化”办学理念，突出优势，创出特色：</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1.人才应用化。</w:t>
      </w:r>
      <w:r>
        <w:rPr>
          <w:rFonts w:hint="eastAsia" w:ascii="仿宋_GB2312" w:hAnsi="仿宋_GB2312" w:eastAsia="仿宋_GB2312" w:cs="仿宋_GB2312"/>
          <w:kern w:val="2"/>
          <w:sz w:val="32"/>
          <w:szCs w:val="32"/>
          <w:lang w:val="en-US" w:eastAsia="zh-CN" w:bidi="ar-SA"/>
        </w:rPr>
        <w:t>注重突出应用型人才培养特点，以社会需求为导向，以创新为动力，以提高教学和人才培养质量为目标，努力培养基础实、能力强、素质高，具有创新意识和创业能力的应用型经营与管理人才。</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2.校企合作化。</w:t>
      </w:r>
      <w:r>
        <w:rPr>
          <w:rFonts w:hint="eastAsia" w:ascii="仿宋_GB2312" w:hAnsi="仿宋_GB2312" w:eastAsia="仿宋_GB2312" w:cs="仿宋_GB2312"/>
          <w:kern w:val="2"/>
          <w:sz w:val="32"/>
          <w:szCs w:val="32"/>
          <w:lang w:val="en-US" w:eastAsia="zh-CN" w:bidi="ar-SA"/>
        </w:rPr>
        <w:t>在国内加强与大型知名企业联系，进行产教融合、校企合作、协同育人，建立产学研基地和人才培养示范基地，开拓校企紧密结合的合作办学模式。</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3.服务社会化。</w:t>
      </w:r>
      <w:r>
        <w:rPr>
          <w:rFonts w:hint="eastAsia" w:ascii="仿宋_GB2312" w:hAnsi="仿宋_GB2312" w:eastAsia="仿宋_GB2312" w:cs="仿宋_GB2312"/>
          <w:kern w:val="2"/>
          <w:sz w:val="32"/>
          <w:szCs w:val="32"/>
          <w:lang w:val="en-US" w:eastAsia="zh-CN" w:bidi="ar-SA"/>
        </w:rPr>
        <w:t>强化服务地方经济社会发展功能和特色，走与区域经济建设紧密结合的道路，充分发挥自身学科专业优势，与地方政府、行业企业紧密协作，为地方经济社会发展提供优良的人才和智力支持。</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4.办学国际化。</w:t>
      </w:r>
      <w:r>
        <w:rPr>
          <w:rFonts w:hint="eastAsia" w:ascii="仿宋_GB2312" w:hAnsi="仿宋_GB2312" w:eastAsia="仿宋_GB2312" w:cs="仿宋_GB2312"/>
          <w:kern w:val="2"/>
          <w:sz w:val="32"/>
          <w:szCs w:val="32"/>
          <w:lang w:val="en-US" w:eastAsia="zh-CN" w:bidi="ar-SA"/>
        </w:rPr>
        <w:t>同国外高校开展合作办学和对口交流，深入开展国际教育，拓宽国际视野，利用国际资源，增强核心竞争力。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（三）建设目标</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1.总目标</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围绕“双一流”建设和申硕破点，在“十四五”期末将学院建成为水平更高、实力更强、富有特色的省内外知名商科学院。</w:t>
      </w:r>
    </w:p>
    <w:p>
      <w:pPr>
        <w:pStyle w:val="6"/>
        <w:keepNext w:val="0"/>
        <w:keepLines w:val="0"/>
        <w:pageBreakBefore w:val="0"/>
        <w:kinsoku/>
        <w:wordWrap/>
        <w:overflowPunct/>
        <w:topLinePunct w:val="0"/>
        <w:autoSpaceDE/>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2.分目标</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师资队伍得到明显改善。师资队伍是决定办学水平和实力的关键因素。加强师资队伍建设，采取内培、外引相结合。以申请学科带头人、教学名师、教学团队等项目为契机，搭建教师教学能力提升平台，建设一支高水平师资队伍。</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科水平得到跨越发展。瞄准省级应用特色学科目标，通过整合资源，增强实力，力争将“应用经济学”建设成为省级应用特色学科。根据硕士点申请的关键控制指标，重点推进申报应用经济学学硕或国际商务专硕硕士点。</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专业办学能力得到显著提高。抢抓机遇，加快推进一流本科专业申报和建设工作。在现有的省级一流本科专业基础上，持续努力将国际经济与贸易建设成为国家级一流本科专业，金融工程专业建设成为省级一流本科专业，财务管理专业建设成为校级一流本科专业。根据湖南“三高四新”战略发展定位和人才市场需求，积极创造条件，拟计划增设1个新专业即“跨境电子商务”本科专业。</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三、建设发展任务</w:t>
      </w:r>
    </w:p>
    <w:p>
      <w:pPr>
        <w:pStyle w:val="3"/>
        <w:keepNext w:val="0"/>
        <w:keepLines w:val="0"/>
        <w:pageBreakBefore w:val="0"/>
        <w:kinsoku/>
        <w:wordWrap/>
        <w:overflowPunct/>
        <w:topLinePunct w:val="0"/>
        <w:bidi w:val="0"/>
        <w:adjustRightInd w:val="0"/>
        <w:snapToGrid w:val="0"/>
        <w:spacing w:beforeAutospacing="0" w:afterAutospacing="0" w:line="560" w:lineRule="exact"/>
        <w:ind w:lef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（一）队伍建设</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师资队伍建设力度，不断加大教师培养和引进，进一步完善地缘结构、年龄结构、学历结构、职称结构，形成一个高素质、高水平的教学科研团队。到“十四五”期末，专任教师总数近60人，实现教授占比达到15%，博士学位教师比例达到40%以上。</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鼓励教师在职学习，提高教师的业务水平。加强对青年教师指导的力度，充分发挥老教师的“传帮带”作用，保证青年教师过好教书育人关、科研关，使青年教师尽快成才。择优选送5-10名青年教师攻读博士学位；</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有计划、有重点地围绕硕士点学科专业引进一批“双高人才”和优质教师，特别是注重引进经济管理方面的领军人物，提升学院在省内外的知名度和办学水平。全职（或聘用）引进博士有科研潜力的博士10-15人，领军人才1-2人；</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稳定现有人才队伍，完善人才成长保障机制，优化人才发展环境，吸引人才、用好人才、留住人才。力争省级人才计划（含省芙蓉学者、省芙蓉教学名师、省湖湘青年英才、省121创新人才、政府特殊津贴、省杰青优青）2-3人，省级青年骨干教师2-3人；</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4.通过产教融合、校企合作等方式，建设一支“双师双能型”教师队伍，以满足应用型人才培养需要。“双师双能型”教师占比达30%以上；</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5.健全国际双向交流机制，加大与国外大学交流合作力度，引进国（境）外智力人才和鼓励青年教师出国培训，提升师资队伍国际化水平。选送5-6人在职攻读国外博士学位；</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6.继续加强师德教风建设，增强教师的敬业精神、奉献精神和团队合作精神，促进优良教学风气的形成和巩固。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（二）专业建设</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学科专业发展需要，继续完善专业人才培养方案，有针对性地开展教育教学改革研究与实践，不断探索专业人才培养模式改革，开展新文科建设和专业认证，努力提升专业办学水平。争取实现国家级一流本科专业和课程的突破，省级一流本科专业增加1个，省级一流课程数量增加2门以上。</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1.努力打造国家级省级一流专业，争取将国际经济与贸易专业建设成为国家级一流本科专业，金融工程专业建设成为省级一流本科专业，财务管理专业建设成为校级一流本科专业；</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2.强力推进新文科建设，重点发展优势专业和特色专业。加强对专业建设的指导，积极推进专业认证，力争2-3个专业获得认证；</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建立专业动态调整机制，面向国家战略和地方区域经济社会发展需要，合理调整和优化专业结构和布局。积极准备，创造条件，科学论证，精心策划，新办跨境电子商务本科专业，争取申办商业数据分析或经济统计本科专业；</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4.加强教学基层组织建设，深入推动教育教学改革，创新教学内容与方法，提升教学效果与水平。力争获得省级教学改革项目8项以上，省级教学比赛奖2项以上，省级教学成果1项以上；</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建设一批线上、线下、线上线下混合、虚拟仿真、社会实践“金课”，进一步做好优势资源的整合，争取申报国家级一流课程1-2门、省级一流课程3门。重视教材建设，提供条件，鼓励和支持教师编写出版校本教材3-5本；</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6.建设开放式、多层次实践基地，为学生创新创业活动提供良好平台。根据专业实验教学需要，建立1-2个新实验室(跨境电商实验室)。建立稳定的、高质量的实习基地，逐年增加并完善实践教学基地的建设。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（三）学科建设</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学科顶层设计，以“应用经济学”为建设重点，在相近的学科和专业方向领域建立一个实力较强、优势明显、成果突出的学科团队，增加学科建设的活力和水平，提高学院的社会影响和学术地位。争取实现省级应用特色学科和硕士点的突破。</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1.努力打造省级一流学科。</w:t>
      </w:r>
      <w:r>
        <w:rPr>
          <w:rFonts w:hint="eastAsia" w:ascii="仿宋_GB2312" w:hAnsi="仿宋_GB2312" w:eastAsia="仿宋_GB2312" w:cs="仿宋_GB2312"/>
          <w:kern w:val="2"/>
          <w:sz w:val="32"/>
          <w:szCs w:val="32"/>
          <w:lang w:val="en-US" w:eastAsia="zh-CN" w:bidi="ar-SA"/>
        </w:rPr>
        <w:t>整合学科资源，精准发力，科学谋划学科方向，凝聚研究力量，产出一流成果，壮大和提升优势学科。在“十四五”期间拟将“应用经济学”打造成为省级应用特色学科，争取将“企业管理”打造成为校级应用特色学科；</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2.着力汇聚一流人才。</w:t>
      </w:r>
      <w:r>
        <w:rPr>
          <w:rFonts w:hint="eastAsia" w:ascii="仿宋_GB2312" w:hAnsi="仿宋_GB2312" w:eastAsia="仿宋_GB2312" w:cs="仿宋_GB2312"/>
          <w:kern w:val="2"/>
          <w:sz w:val="32"/>
          <w:szCs w:val="32"/>
          <w:lang w:val="en-US" w:eastAsia="zh-CN" w:bidi="ar-SA"/>
        </w:rPr>
        <w:t>力争培养省级学科带头人或新世纪创新人才1-2人。引进领军人才1-2名，带领和组建学科团队。构建灵活、高效的人才引进和培养机制，逐渐形成一支结构合理、力量较强的学科队伍和学术梯队，满足人才培养、支持地方经济建设和社会发展服务的需要；</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3.奋力搭建科技创新平台。</w:t>
      </w:r>
      <w:r>
        <w:rPr>
          <w:rFonts w:hint="eastAsia" w:ascii="仿宋_GB2312" w:hAnsi="仿宋_GB2312" w:eastAsia="仿宋_GB2312" w:cs="仿宋_GB2312"/>
          <w:kern w:val="2"/>
          <w:sz w:val="32"/>
          <w:szCs w:val="32"/>
          <w:lang w:val="en-US" w:eastAsia="zh-CN" w:bidi="ar-SA"/>
        </w:rPr>
        <w:t>围绕国家乡村振兴战略和湖南“三高四新”战略，力争获批省部级科研平台1-2个，提高学科建设水平和影响；</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4.大力夯实硕士点建设。</w:t>
      </w:r>
      <w:r>
        <w:rPr>
          <w:rFonts w:hint="eastAsia" w:ascii="仿宋_GB2312" w:hAnsi="仿宋_GB2312" w:eastAsia="仿宋_GB2312" w:cs="仿宋_GB2312"/>
          <w:kern w:val="2"/>
          <w:sz w:val="32"/>
          <w:szCs w:val="32"/>
          <w:lang w:val="en-US" w:eastAsia="zh-CN" w:bidi="ar-SA"/>
        </w:rPr>
        <w:t>以现有优势学科为基础，积极创造条件，争取申报应用经济学学硕和国际商务专硕硕士点，实现办学层次突破。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（四）科学研究</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三高四新”战略和区域经济发展需求，有针对性地开展科技创新。认真做好国家、省、市各类纵向课题及各类基金项目的申报工作，确保立项数量和项目档次有较大幅度提升，争取在获奖数量与等级上有新的提高。坚定不移地走产学研合作和服务地方经济的道路，充分发挥自身学科专业优势，与地方政府、行业企业紧密协作，走与区域经济建设紧密结合的道路，提高各项科研成果得到转化应用率，为地方经济社会发展提供优良的人才和智力支持。</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1.切实做好课题项目申报工作。</w:t>
      </w:r>
      <w:r>
        <w:rPr>
          <w:rFonts w:hint="eastAsia" w:ascii="仿宋_GB2312" w:hAnsi="仿宋_GB2312" w:eastAsia="仿宋_GB2312" w:cs="仿宋_GB2312"/>
          <w:kern w:val="2"/>
          <w:sz w:val="32"/>
          <w:szCs w:val="32"/>
          <w:lang w:val="en-US" w:eastAsia="zh-CN" w:bidi="ar-SA"/>
        </w:rPr>
        <w:t>落实责任，采取有效措施，力争在国家自然科学基金项目和国家社会科学基金项目申报立项上有新突破。新增2-3个国家自然科学基金或社会科学基金项目，省部级项目达40项以上；</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2.致力服务地方出成果。</w:t>
      </w:r>
      <w:r>
        <w:rPr>
          <w:rFonts w:hint="eastAsia" w:ascii="仿宋_GB2312" w:hAnsi="仿宋_GB2312" w:eastAsia="仿宋_GB2312" w:cs="仿宋_GB2312"/>
          <w:kern w:val="2"/>
          <w:sz w:val="32"/>
          <w:szCs w:val="32"/>
          <w:lang w:val="en-US" w:eastAsia="zh-CN" w:bidi="ar-SA"/>
        </w:rPr>
        <w:t>坚持走产学研相结合之路，积极与有关政府、科研机构、行业企业在科学研究和技术开发等方面的合作，开展横向课题研究，加大科技成果转化与推广力度，形成以科学研究与经济建设的良性互动机制。力争每年进校经费150万元以上；</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3.实施应用创新行动计划。</w:t>
      </w:r>
      <w:r>
        <w:rPr>
          <w:rFonts w:hint="eastAsia" w:ascii="仿宋_GB2312" w:hAnsi="仿宋_GB2312" w:eastAsia="仿宋_GB2312" w:cs="仿宋_GB2312"/>
          <w:kern w:val="2"/>
          <w:sz w:val="32"/>
          <w:szCs w:val="32"/>
          <w:lang w:val="en-US" w:eastAsia="zh-CN" w:bidi="ar-SA"/>
        </w:rPr>
        <w:t>明确目标，重点发力，大幅提升科技创新成果。新增出版高水平学术专著10部以上，省部级科研成果奖1项以上；结合科研项目开展科学研究，力争在国内外期刊上发表高水平研究论文大幅上升，SCI、SSCI、CSSCI论文数量达到20篇以上；</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4.重视与国内外学术交流与合作。</w:t>
      </w:r>
      <w:r>
        <w:rPr>
          <w:rFonts w:hint="eastAsia" w:ascii="仿宋_GB2312" w:hAnsi="仿宋_GB2312" w:eastAsia="仿宋_GB2312" w:cs="仿宋_GB2312"/>
          <w:kern w:val="2"/>
          <w:sz w:val="32"/>
          <w:szCs w:val="32"/>
          <w:lang w:val="en-US" w:eastAsia="zh-CN" w:bidi="ar-SA"/>
        </w:rPr>
        <w:t>邀请国内外著名学者来校讲学，与国内外知名大学开展多层次、多方面的学术交流与合作。举办全国性或国际学术会议1-2场。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（五）人才培养</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立德树人根本任务，坚持以人为本，推进“四个回归”，深化应用型人才培养模式改革。深入推进产教融合、校企合作，通过“四个”对接，实现与行业企业协同育人。到“十四五”末，本科专业数达到5-6个，全日制本科学生数约1600人。</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1.继续推进应用型人才培养模式综合改革</w:t>
      </w:r>
      <w:r>
        <w:rPr>
          <w:rFonts w:hint="eastAsia" w:ascii="仿宋_GB2312" w:hAnsi="仿宋_GB2312" w:eastAsia="仿宋_GB2312" w:cs="仿宋_GB2312"/>
          <w:kern w:val="2"/>
          <w:sz w:val="32"/>
          <w:szCs w:val="32"/>
          <w:lang w:val="en-US" w:eastAsia="zh-CN" w:bidi="ar-SA"/>
        </w:rPr>
        <w:t>。紧扣专业人才培养目标定位，深入探索产教融合、校企合作新机制，全面推进高素质应用型人才培养。力争获省级优秀教学成果奖1-2个，校级教学成果5项以上；</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2.发展研究生教育和国际合作教育。</w:t>
      </w:r>
      <w:r>
        <w:rPr>
          <w:rFonts w:hint="eastAsia" w:ascii="仿宋_GB2312" w:hAnsi="仿宋_GB2312" w:eastAsia="仿宋_GB2312" w:cs="仿宋_GB2312"/>
          <w:kern w:val="2"/>
          <w:sz w:val="32"/>
          <w:szCs w:val="32"/>
          <w:lang w:val="en-US" w:eastAsia="zh-CN" w:bidi="ar-SA"/>
        </w:rPr>
        <w:t>与湘潭大学等联合培养硕士研究生每年3-5人。与国外高校合作，积极开展国际联合培养硕士研究生5-10人；</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3.实施毕业生就业创业促进计划。</w:t>
      </w:r>
      <w:r>
        <w:rPr>
          <w:rFonts w:hint="eastAsia" w:ascii="仿宋_GB2312" w:hAnsi="仿宋_GB2312" w:eastAsia="仿宋_GB2312" w:cs="仿宋_GB2312"/>
          <w:kern w:val="2"/>
          <w:sz w:val="32"/>
          <w:szCs w:val="32"/>
          <w:lang w:val="en-US" w:eastAsia="zh-CN" w:bidi="ar-SA"/>
        </w:rPr>
        <w:t>扎实做好毕业生就业工作，完善支持大学生就业创业促进办法和服务体系，确保毕业生就业率在92％以上；</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4.深化创新创业教育改革</w:t>
      </w:r>
      <w:r>
        <w:rPr>
          <w:rFonts w:hint="eastAsia" w:ascii="仿宋_GB2312" w:hAnsi="仿宋_GB2312" w:eastAsia="仿宋_GB2312" w:cs="仿宋_GB2312"/>
          <w:kern w:val="2"/>
          <w:sz w:val="32"/>
          <w:szCs w:val="32"/>
          <w:lang w:val="en-US" w:eastAsia="zh-CN" w:bidi="ar-SA"/>
        </w:rPr>
        <w:t>。采取有效措施，积极开展创新创业教育，争取创新创业训练计划项目国家级立项达5项以上，省级立项达10项以上，校级立项达20项以上。制定学科竞赛管理办法，调动师生积极性，组织学生参加学科竞赛获得省级以上一等奖不低于10项，总奖项不低于40项；</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5.提高毕业生就业质量。</w:t>
      </w:r>
      <w:r>
        <w:rPr>
          <w:rFonts w:hint="eastAsia" w:ascii="仿宋_GB2312" w:hAnsi="仿宋_GB2312" w:eastAsia="仿宋_GB2312" w:cs="仿宋_GB2312"/>
          <w:kern w:val="2"/>
          <w:sz w:val="32"/>
          <w:szCs w:val="32"/>
          <w:lang w:val="en-US" w:eastAsia="zh-CN" w:bidi="ar-SA"/>
        </w:rPr>
        <w:t>制定考研促进办法，通过实施导师制，提升学生考研报考率和录取率，确保平均每年考研录取人数不低于20人；多措并举提高学生公务员、事业单位、国有企业等通过比例，每年考上国家企事业单位人数不低于50人；</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6.深入推进办学国际化。</w:t>
      </w:r>
      <w:r>
        <w:rPr>
          <w:rFonts w:hint="eastAsia" w:ascii="仿宋_GB2312" w:hAnsi="仿宋_GB2312" w:eastAsia="仿宋_GB2312" w:cs="仿宋_GB2312"/>
          <w:kern w:val="2"/>
          <w:sz w:val="32"/>
          <w:szCs w:val="32"/>
          <w:lang w:val="en-US" w:eastAsia="zh-CN" w:bidi="ar-SA"/>
        </w:rPr>
        <w:t>聚焦优势资源，努力提升国际交流合作层次，力争获批中外合作办学专业，培养国际学生，学生出国（境）交流约30人；</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7.构建“五育并举”教育体系。</w:t>
      </w:r>
      <w:r>
        <w:rPr>
          <w:rFonts w:hint="eastAsia" w:ascii="仿宋_GB2312" w:hAnsi="仿宋_GB2312" w:eastAsia="仿宋_GB2312" w:cs="仿宋_GB2312"/>
          <w:kern w:val="2"/>
          <w:sz w:val="32"/>
          <w:szCs w:val="32"/>
          <w:lang w:val="en-US" w:eastAsia="zh-CN" w:bidi="ar-SA"/>
        </w:rPr>
        <w:t>强化人才培养的中心地位，构建“五育并举”的专业人才培养体系，深化“三全育人”综合改革，全面实施课程思政，培养德智体美劳全面发展的高素质人才。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（六）党的建设</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党建是一切工作的引领，我们要高举中国特色社会主义伟大旗帜，坚定社会主义办学方向，不断夯实党建基础，提升党建质量。以中国共产党建党100周年为契机，加大党建示范创建和质量创优工作，以高质量党建引领学院事业高质量发展。</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1.突出政治建设。</w:t>
      </w:r>
      <w:r>
        <w:rPr>
          <w:rFonts w:hint="eastAsia" w:ascii="仿宋_GB2312" w:hAnsi="仿宋_GB2312" w:eastAsia="仿宋_GB2312" w:cs="仿宋_GB2312"/>
          <w:kern w:val="2"/>
          <w:sz w:val="32"/>
          <w:szCs w:val="32"/>
          <w:lang w:val="en-US" w:eastAsia="zh-CN" w:bidi="ar-SA"/>
        </w:rPr>
        <w:t>坚持党的政治领导，树牢“四个意识”，坚定“四个自信”，坚决做到“两个维护”，加强组织领导，强化责任担当，确保各项目标任务落到实处；</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2.强化队伍建设。</w:t>
      </w:r>
      <w:r>
        <w:rPr>
          <w:rFonts w:hint="eastAsia" w:ascii="仿宋_GB2312" w:hAnsi="仿宋_GB2312" w:eastAsia="仿宋_GB2312" w:cs="仿宋_GB2312"/>
          <w:kern w:val="2"/>
          <w:sz w:val="32"/>
          <w:szCs w:val="32"/>
          <w:lang w:val="en-US" w:eastAsia="zh-CN" w:bidi="ar-SA"/>
        </w:rPr>
        <w:t>着力提升驾驭全局、战略谋划和办学治理能力，提高干部的政治素质和履职能力，不断增强党员干部干事创业带领作用；</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3.建强党的基层组织。</w:t>
      </w:r>
      <w:r>
        <w:rPr>
          <w:rFonts w:hint="eastAsia" w:ascii="仿宋_GB2312" w:hAnsi="仿宋_GB2312" w:eastAsia="仿宋_GB2312" w:cs="仿宋_GB2312"/>
          <w:kern w:val="2"/>
          <w:sz w:val="32"/>
          <w:szCs w:val="32"/>
          <w:lang w:val="en-US" w:eastAsia="zh-CN" w:bidi="ar-SA"/>
        </w:rPr>
        <w:t>树立标杆学院和样板支部，扎实推进党支部“五化”提质工程，不断增强基层党组织政治功能和组织功能，以“党员骨干”示范岗和“双带头人”为推手，努力推进党建和业务双融双促；</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4.抓好党风廉政建设。</w:t>
      </w:r>
      <w:r>
        <w:rPr>
          <w:rFonts w:hint="eastAsia" w:ascii="仿宋_GB2312" w:hAnsi="仿宋_GB2312" w:eastAsia="仿宋_GB2312" w:cs="仿宋_GB2312"/>
          <w:kern w:val="2"/>
          <w:sz w:val="32"/>
          <w:szCs w:val="32"/>
          <w:lang w:val="en-US" w:eastAsia="zh-CN" w:bidi="ar-SA"/>
        </w:rPr>
        <w:t>深入推进全面从严治党，强化内部控制，规范权力运行，营造风清气正的政治生态和发展环境。</w:t>
      </w:r>
    </w:p>
    <w:p>
      <w:pPr>
        <w:keepNext w:val="0"/>
        <w:keepLines w:val="0"/>
        <w:pageBreakBefore w:val="0"/>
        <w:kinsoku/>
        <w:wordWrap/>
        <w:overflowPunct/>
        <w:topLinePunct w:val="0"/>
        <w:bidi w:val="0"/>
        <w:adjustRightInd w:val="0"/>
        <w:snapToGrid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5.抓实思想政治工作。</w:t>
      </w:r>
      <w:r>
        <w:rPr>
          <w:rFonts w:hint="eastAsia" w:ascii="仿宋_GB2312" w:hAnsi="仿宋_GB2312" w:eastAsia="仿宋_GB2312" w:cs="仿宋_GB2312"/>
          <w:kern w:val="2"/>
          <w:sz w:val="32"/>
          <w:szCs w:val="32"/>
          <w:lang w:val="en-US" w:eastAsia="zh-CN" w:bidi="ar-SA"/>
        </w:rPr>
        <w:t>把握正确舆论导向，坚持以社会主义核心价值观引领新时代大学生思想道德建设。完善学生“综合素质”评价体系，突出德育为先，努力培养担当民族复兴大任的时代新人。</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四、保障措施</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（一）提升办学理念</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坚持新发展新理念，强化应用型人才培养，将各项工作真正落实应用型人才培养上来。思想是行动的指南，需要大家凝聚智慧，形成改革创新合力，共谋学院改革发展大计，对学科专业建设发展进行顶层设计。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（二）加强组织领导</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党政班子切实加强领导，强化责任意识，把好舵，将学院建设发展放在工作的首要位置，想大事、做大事、成大事，谋划、决策并组织好学科、专业、师资队伍等各项建设工作；强化教学系部工作，使教研教改工作经常化、制度化，调动全体教师的智慧，使大家在学科建设、专业建设和队伍建设中发挥积极作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（三）改革体制机制</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改革管理体制，实现真正的二级管理。基于学校出台突出学院主体地位的管理体制或模式改革方案，从人事管理、财务管理、教学管理、学生管理、科研管理、收入分配等方面真正体现学院办学权利，努力增强学院和教师更多自主权和自由，以充分调动积极性。围绕应用型人才培养目标和高质量发展需要，完善学院各项规章制度，促进依法治院，依章办学。</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（四）加强考核监管</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健全教学系部考核机制，实施目标管理，增强基层教学组织的积极性和主动性。完善教学质量保障监控体系，树立以教学为中心的理念，增强教学工作责任感，健全教学督导，认真开展教学评估和教学质量检查，构建对教师授课质量和教学水平的科学评价。</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（五）筹措办学经费</w:t>
      </w: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学院真正专业性双高人才缺乏，引进难度大，人才流失较严重，需要学校在人才培养和引进方面的政策对有所倾斜；同时社会对我们所培养的学生实践能力要求较高，但现有实验室条件还不能满足要求，实践基地建设虽然取得了一定成绩，但金融工程、财务管理两个本科专业的实践基地建设存在较大困难。真正要搞好学科专业建设，需要投入大量经费，须积极想办法筹集资金，争取学校重视和支持。</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附：经济与管理学院“十四五”规划主要发展指标一览表</w:t>
      </w: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420" w:firstLineChars="200"/>
        <w:textAlignment w:val="auto"/>
      </w:pPr>
    </w:p>
    <w:p>
      <w:pPr>
        <w:pStyle w:val="2"/>
        <w:keepNext w:val="0"/>
        <w:keepLines w:val="0"/>
        <w:pageBreakBefore w:val="0"/>
        <w:kinsoku/>
        <w:wordWrap/>
        <w:overflowPunct/>
        <w:topLinePunct w:val="0"/>
        <w:bidi w:val="0"/>
        <w:adjustRightInd w:val="0"/>
        <w:snapToGrid w:val="0"/>
        <w:spacing w:beforeAutospacing="0" w:after="0" w:afterAutospacing="0" w:line="560" w:lineRule="exact"/>
        <w:ind w:firstLine="420" w:firstLineChars="200"/>
        <w:textAlignment w:val="auto"/>
      </w:pPr>
    </w:p>
    <w:p>
      <w:pPr>
        <w:keepNext w:val="0"/>
        <w:keepLines w:val="0"/>
        <w:pageBreakBefore w:val="0"/>
        <w:kinsoku/>
        <w:wordWrap/>
        <w:overflowPunct/>
        <w:topLinePunct w:val="0"/>
        <w:bidi w:val="0"/>
        <w:adjustRightInd w:val="0"/>
        <w:snapToGrid w:val="0"/>
        <w:spacing w:beforeAutospacing="0" w:afterAutospacing="0" w:line="560" w:lineRule="exact"/>
        <w:ind w:firstLine="640" w:firstLineChars="200"/>
        <w:textAlignment w:val="auto"/>
        <w:rPr>
          <w:rFonts w:hint="eastAsia" w:ascii="方正小标宋简体" w:hAnsi="方正小标宋简体" w:eastAsia="方正小标宋简体" w:cs="方正小标宋简体"/>
          <w:sz w:val="32"/>
          <w:szCs w:val="36"/>
        </w:rPr>
      </w:pPr>
      <w:r>
        <w:rPr>
          <w:rFonts w:hint="eastAsia" w:ascii="方正小标宋简体" w:hAnsi="方正小标宋简体" w:eastAsia="方正小标宋简体" w:cs="方正小标宋简体"/>
          <w:sz w:val="32"/>
          <w:szCs w:val="36"/>
        </w:rPr>
        <w:br w:type="page"/>
      </w:r>
    </w:p>
    <w:p>
      <w:pPr>
        <w:keepNext w:val="0"/>
        <w:keepLines w:val="0"/>
        <w:pageBreakBefore w:val="0"/>
        <w:kinsoku/>
        <w:wordWrap/>
        <w:overflowPunct/>
        <w:topLinePunct w:val="0"/>
        <w:bidi w:val="0"/>
        <w:adjustRightInd w:val="0"/>
        <w:snapToGrid w:val="0"/>
        <w:spacing w:beforeAutospacing="0" w:afterAutospacing="0" w:line="560" w:lineRule="exact"/>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经济与管理学院“十四五”规划主要发展指标一览表</w:t>
      </w:r>
    </w:p>
    <w:tbl>
      <w:tblPr>
        <w:tblStyle w:val="7"/>
        <w:tblW w:w="8325" w:type="dxa"/>
        <w:jc w:val="center"/>
        <w:tblLayout w:type="autofit"/>
        <w:tblCellMar>
          <w:top w:w="0" w:type="dxa"/>
          <w:left w:w="108" w:type="dxa"/>
          <w:bottom w:w="0" w:type="dxa"/>
          <w:right w:w="108" w:type="dxa"/>
        </w:tblCellMar>
      </w:tblPr>
      <w:tblGrid>
        <w:gridCol w:w="538"/>
        <w:gridCol w:w="809"/>
        <w:gridCol w:w="3532"/>
        <w:gridCol w:w="1227"/>
        <w:gridCol w:w="1134"/>
        <w:gridCol w:w="1085"/>
      </w:tblGrid>
      <w:tr>
        <w:tblPrEx>
          <w:tblCellMar>
            <w:top w:w="0" w:type="dxa"/>
            <w:left w:w="108" w:type="dxa"/>
            <w:bottom w:w="0" w:type="dxa"/>
            <w:right w:w="108" w:type="dxa"/>
          </w:tblCellMar>
        </w:tblPrEx>
        <w:trPr>
          <w:trHeight w:val="57" w:hRule="atLeast"/>
          <w:tblHeader/>
          <w:jc w:val="center"/>
        </w:trPr>
        <w:tc>
          <w:tcPr>
            <w:tcW w:w="53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序号</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建设类型</w:t>
            </w:r>
          </w:p>
        </w:tc>
        <w:tc>
          <w:tcPr>
            <w:tcW w:w="35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指标名称</w:t>
            </w:r>
          </w:p>
        </w:tc>
        <w:tc>
          <w:tcPr>
            <w:tcW w:w="236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指标数值</w:t>
            </w:r>
          </w:p>
        </w:tc>
        <w:tc>
          <w:tcPr>
            <w:tcW w:w="10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指标</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属性</w:t>
            </w:r>
          </w:p>
        </w:tc>
      </w:tr>
      <w:tr>
        <w:tblPrEx>
          <w:tblCellMar>
            <w:top w:w="0" w:type="dxa"/>
            <w:left w:w="108" w:type="dxa"/>
            <w:bottom w:w="0" w:type="dxa"/>
            <w:right w:w="108" w:type="dxa"/>
          </w:tblCellMar>
        </w:tblPrEx>
        <w:trPr>
          <w:trHeight w:val="57" w:hRule="atLeast"/>
          <w:tblHeader/>
          <w:jc w:val="center"/>
        </w:trPr>
        <w:tc>
          <w:tcPr>
            <w:tcW w:w="5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c>
          <w:tcPr>
            <w:tcW w:w="35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十三五/2020年</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十四五/2025年</w:t>
            </w:r>
          </w:p>
        </w:tc>
        <w:tc>
          <w:tcPr>
            <w:tcW w:w="10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80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b/>
                <w:bCs/>
                <w:kern w:val="0"/>
                <w:sz w:val="21"/>
                <w:szCs w:val="21"/>
              </w:rPr>
              <w:t>队伍建设</w:t>
            </w: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（达到）专任教师（人）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（达到）博士学位教师占比</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（新增）领军人才（人）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color w:val="000000"/>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w w:val="90"/>
                <w:kern w:val="0"/>
                <w:sz w:val="21"/>
                <w:szCs w:val="21"/>
              </w:rPr>
              <w:t>（新增）高层次人才计划（含</w:t>
            </w:r>
            <w:r>
              <w:rPr>
                <w:rFonts w:hint="eastAsia" w:ascii="仿宋" w:hAnsi="仿宋" w:eastAsia="仿宋" w:cs="仿宋"/>
                <w:kern w:val="0"/>
                <w:sz w:val="21"/>
                <w:szCs w:val="21"/>
              </w:rPr>
              <w:t>省芙蓉学者、省芙蓉教学名师、省湖湘青年英才、省121创新人才、政府特殊津贴、</w:t>
            </w:r>
            <w:r>
              <w:rPr>
                <w:rFonts w:hint="eastAsia" w:ascii="仿宋" w:hAnsi="仿宋" w:eastAsia="仿宋" w:cs="仿宋"/>
                <w:w w:val="90"/>
                <w:kern w:val="0"/>
                <w:sz w:val="21"/>
                <w:szCs w:val="21"/>
              </w:rPr>
              <w:t>省杰青优青）</w:t>
            </w:r>
            <w:r>
              <w:rPr>
                <w:rFonts w:hint="eastAsia" w:ascii="仿宋" w:hAnsi="仿宋" w:eastAsia="仿宋" w:cs="仿宋"/>
                <w:kern w:val="0"/>
                <w:sz w:val="21"/>
                <w:szCs w:val="21"/>
              </w:rPr>
              <w:t>（人）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（新增）省级青年骨干教师</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（达到）“双师双能型”教师（人）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（新增）校内培育博士（人）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5-10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（新增）引进博士（人）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10-15</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（新增）二级教授（人）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（新增）教授（人）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11</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（新增）副教授（人）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5-8</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（达到）教职工总数（人）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53</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68</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13</w:t>
            </w:r>
          </w:p>
        </w:tc>
        <w:tc>
          <w:tcPr>
            <w:tcW w:w="80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（达到）生师比</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30：1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22：1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14</w:t>
            </w:r>
          </w:p>
        </w:tc>
        <w:tc>
          <w:tcPr>
            <w:tcW w:w="80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b/>
                <w:bCs/>
                <w:kern w:val="0"/>
                <w:sz w:val="21"/>
                <w:szCs w:val="21"/>
              </w:rPr>
              <w:t>专业建设</w:t>
            </w: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（新增）本科专业数（个）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15</w:t>
            </w:r>
          </w:p>
        </w:tc>
        <w:tc>
          <w:tcPr>
            <w:tcW w:w="80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（新增）国家一流专业（个）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16</w:t>
            </w:r>
          </w:p>
        </w:tc>
        <w:tc>
          <w:tcPr>
            <w:tcW w:w="80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（新增）省级一流专业（个）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17</w:t>
            </w:r>
          </w:p>
        </w:tc>
        <w:tc>
          <w:tcPr>
            <w:tcW w:w="80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（新增）国家一流课程（门）</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18</w:t>
            </w:r>
          </w:p>
        </w:tc>
        <w:tc>
          <w:tcPr>
            <w:tcW w:w="80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（新增）省级一流课程（门）</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19</w:t>
            </w:r>
          </w:p>
        </w:tc>
        <w:tc>
          <w:tcPr>
            <w:tcW w:w="80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（新增）省级教学成果奖（项）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809"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（新增）省级教学竞赛获奖（项）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21</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（新增）省级教改项目（个）</w:t>
            </w:r>
          </w:p>
        </w:tc>
        <w:tc>
          <w:tcPr>
            <w:tcW w:w="12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11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10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22</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（新增）专业认证（个）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（新增）实验室（个）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（达到）实习基地（个）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25</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（新增）校本教材（本）</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26</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27</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学科建设</w:t>
            </w: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（新增）新增学科硕士点（个）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28</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（新增）省级应用特色学科（个）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29</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（新增）学科带头人（个）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30</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（新增）省级科研平台（个）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31</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（新增）湖南省社会科学成果、科技进步奖（项）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32</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硕导博导数（个）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33</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科学研究</w:t>
            </w:r>
          </w:p>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（新增）国家自然科学基金、国家社会科学基金项目（项）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34</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（新增）省部级科研项目（项）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45</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35</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（新增）师年均科研经费（万元）</w:t>
            </w:r>
          </w:p>
        </w:tc>
        <w:tc>
          <w:tcPr>
            <w:tcW w:w="12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113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10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36</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（新增）年科研进校总经费（万元）</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150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37</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（新增）高水平论文</w:t>
            </w:r>
            <w:r>
              <w:rPr>
                <w:rFonts w:hint="eastAsia" w:ascii="仿宋" w:hAnsi="仿宋" w:eastAsia="仿宋" w:cs="仿宋"/>
                <w:w w:val="90"/>
                <w:kern w:val="0"/>
                <w:sz w:val="21"/>
                <w:szCs w:val="21"/>
              </w:rPr>
              <w:t>收录及</w:t>
            </w:r>
            <w:r>
              <w:rPr>
                <w:rFonts w:hint="eastAsia" w:ascii="仿宋" w:hAnsi="仿宋" w:eastAsia="仿宋" w:cs="仿宋"/>
                <w:kern w:val="0"/>
                <w:sz w:val="21"/>
                <w:szCs w:val="21"/>
              </w:rPr>
              <w:t>CSSCI</w:t>
            </w:r>
            <w:r>
              <w:rPr>
                <w:rFonts w:hint="eastAsia" w:ascii="仿宋" w:hAnsi="仿宋" w:eastAsia="仿宋" w:cs="仿宋"/>
                <w:w w:val="90"/>
                <w:kern w:val="0"/>
                <w:sz w:val="21"/>
                <w:szCs w:val="21"/>
              </w:rPr>
              <w:t>论文（篇）</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38</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（新增）发表论文数（篇）</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230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240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39</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（新增）出版学术专著（部）</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40</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（新增）组织召开国际国内高端学术会议（次）</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41</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（新增）科研成果转移转化（项）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42</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r>
              <w:rPr>
                <w:rFonts w:hint="eastAsia" w:ascii="仿宋" w:hAnsi="仿宋" w:eastAsia="仿宋" w:cs="仿宋"/>
                <w:b/>
                <w:bCs/>
                <w:kern w:val="0"/>
                <w:sz w:val="21"/>
                <w:szCs w:val="21"/>
              </w:rPr>
              <w:t>人才培养</w:t>
            </w:r>
          </w:p>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（达到）全日制本科生（人）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1400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1700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43</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w w:val="90"/>
                <w:kern w:val="0"/>
                <w:sz w:val="21"/>
                <w:szCs w:val="21"/>
              </w:rPr>
              <w:t>（新增）国内联合培养硕士研究生（博士生）</w:t>
            </w:r>
            <w:r>
              <w:rPr>
                <w:rFonts w:hint="eastAsia" w:ascii="仿宋" w:hAnsi="仿宋" w:eastAsia="仿宋" w:cs="仿宋"/>
                <w:kern w:val="0"/>
                <w:sz w:val="21"/>
                <w:szCs w:val="21"/>
              </w:rPr>
              <w:t>（人）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5-10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44</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w w:val="90"/>
                <w:kern w:val="0"/>
                <w:sz w:val="21"/>
                <w:szCs w:val="21"/>
              </w:rPr>
              <w:t>（新增）国外联合培养硕士研究生（博士生）</w:t>
            </w:r>
            <w:r>
              <w:rPr>
                <w:rFonts w:hint="eastAsia" w:ascii="仿宋" w:hAnsi="仿宋" w:eastAsia="仿宋" w:cs="仿宋"/>
                <w:kern w:val="0"/>
                <w:sz w:val="21"/>
                <w:szCs w:val="21"/>
              </w:rPr>
              <w:t>（人）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5-10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45</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w w:val="90"/>
                <w:kern w:val="0"/>
                <w:sz w:val="21"/>
                <w:szCs w:val="21"/>
              </w:rPr>
            </w:pPr>
            <w:r>
              <w:rPr>
                <w:rFonts w:hint="eastAsia" w:ascii="仿宋" w:hAnsi="仿宋" w:eastAsia="仿宋" w:cs="仿宋"/>
                <w:kern w:val="0"/>
                <w:sz w:val="21"/>
                <w:szCs w:val="21"/>
              </w:rPr>
              <w:t>（新增）国家级</w:t>
            </w:r>
            <w:r>
              <w:rPr>
                <w:rFonts w:hint="eastAsia" w:ascii="仿宋" w:hAnsi="仿宋" w:eastAsia="仿宋" w:cs="仿宋"/>
                <w:w w:val="90"/>
                <w:kern w:val="0"/>
                <w:sz w:val="21"/>
                <w:szCs w:val="21"/>
              </w:rPr>
              <w:t>创新创业训练计划</w:t>
            </w:r>
            <w:r>
              <w:rPr>
                <w:rFonts w:hint="eastAsia" w:ascii="仿宋" w:hAnsi="仿宋" w:eastAsia="仿宋" w:cs="仿宋"/>
                <w:kern w:val="0"/>
                <w:sz w:val="21"/>
                <w:szCs w:val="21"/>
              </w:rPr>
              <w:t>（项）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46</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w:t>
            </w:r>
            <w:r>
              <w:rPr>
                <w:rFonts w:hint="eastAsia" w:ascii="仿宋" w:hAnsi="仿宋" w:eastAsia="仿宋" w:cs="仿宋"/>
                <w:w w:val="90"/>
                <w:kern w:val="0"/>
                <w:sz w:val="21"/>
                <w:szCs w:val="21"/>
              </w:rPr>
              <w:t>创新创业训练计划</w:t>
            </w:r>
            <w:r>
              <w:rPr>
                <w:rFonts w:hint="eastAsia" w:ascii="仿宋" w:hAnsi="仿宋" w:eastAsia="仿宋" w:cs="仿宋"/>
                <w:kern w:val="0"/>
                <w:sz w:val="21"/>
                <w:szCs w:val="21"/>
              </w:rPr>
              <w:t>（项）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tabs>
                <w:tab w:val="left" w:pos="579"/>
              </w:tabs>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16</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18</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47</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（新增）省级思想政治教育基地（个）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tabs>
                <w:tab w:val="left" w:pos="579"/>
              </w:tabs>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48</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b/>
                <w:bCs/>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（新增）省级创新创业教育基地（个）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 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49</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（新增）省级及以上学科竞赛获奖（省级一等奖以上数）（项）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6-8</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 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50</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（新增）省级及以上学科竞赛获奖总数（项）</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43</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45</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 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51</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（新增）学生发表学术论文（篇）</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45</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52</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年均就业率（%）</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92%</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53</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年均研究生录取人数（人）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 约束性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54</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w:t>
            </w:r>
            <w:r>
              <w:rPr>
                <w:rFonts w:hint="eastAsia" w:ascii="仿宋" w:hAnsi="仿宋" w:eastAsia="仿宋" w:cs="仿宋"/>
                <w:w w:val="90"/>
                <w:kern w:val="0"/>
                <w:sz w:val="21"/>
                <w:szCs w:val="21"/>
              </w:rPr>
              <w:t>本科生在国（境）外交流学习学生人数</w:t>
            </w:r>
            <w:r>
              <w:rPr>
                <w:rFonts w:hint="eastAsia" w:ascii="仿宋" w:hAnsi="仿宋" w:eastAsia="仿宋" w:cs="仿宋"/>
                <w:kern w:val="0"/>
                <w:sz w:val="21"/>
                <w:szCs w:val="21"/>
              </w:rPr>
              <w:t>（人）</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11</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30</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55</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（新增）高水平中外合作办学项目（个）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0</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预期性</w:t>
            </w:r>
          </w:p>
        </w:tc>
      </w:tr>
      <w:tr>
        <w:tblPrEx>
          <w:tblCellMar>
            <w:top w:w="0" w:type="dxa"/>
            <w:left w:w="108" w:type="dxa"/>
            <w:bottom w:w="0" w:type="dxa"/>
            <w:right w:w="108" w:type="dxa"/>
          </w:tblCellMar>
        </w:tblPrEx>
        <w:trPr>
          <w:trHeight w:val="57" w:hRule="atLeast"/>
          <w:jc w:val="center"/>
        </w:trPr>
        <w:tc>
          <w:tcPr>
            <w:tcW w:w="53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56</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p>
        </w:tc>
        <w:tc>
          <w:tcPr>
            <w:tcW w:w="35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（新增）教育部协同育人合作项目（个）</w:t>
            </w:r>
          </w:p>
        </w:tc>
        <w:tc>
          <w:tcPr>
            <w:tcW w:w="12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113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5-8</w:t>
            </w:r>
          </w:p>
        </w:tc>
        <w:tc>
          <w:tcPr>
            <w:tcW w:w="108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firstLine="0" w:firstLine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约束性</w:t>
            </w:r>
          </w:p>
        </w:tc>
      </w:tr>
    </w:tbl>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68C563-39A0-40FC-8DB3-1A799C1B22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CA3B3A13-5097-492B-9CEF-7F568689CA63}"/>
  </w:font>
  <w:font w:name="方正小标宋简体">
    <w:panose1 w:val="02010601030101010101"/>
    <w:charset w:val="86"/>
    <w:family w:val="auto"/>
    <w:pitch w:val="default"/>
    <w:sig w:usb0="00000001" w:usb1="080E0000" w:usb2="00000000" w:usb3="00000000" w:csb0="00040000" w:csb1="00000000"/>
    <w:embedRegular r:id="rId3" w:fontKey="{231143BA-9EBE-4A50-85BA-042C8DF6B17E}"/>
  </w:font>
  <w:font w:name="仿宋_GB2312">
    <w:panose1 w:val="02010609030101010101"/>
    <w:charset w:val="86"/>
    <w:family w:val="auto"/>
    <w:pitch w:val="default"/>
    <w:sig w:usb0="00000001" w:usb1="080E0000" w:usb2="00000000" w:usb3="00000000" w:csb0="00040000" w:csb1="00000000"/>
    <w:embedRegular r:id="rId4" w:fontKey="{EEBD188B-5EA7-4C8A-A14D-83A56E4B1633}"/>
  </w:font>
  <w:font w:name="楷体_GB2312">
    <w:panose1 w:val="02010609030101010101"/>
    <w:charset w:val="86"/>
    <w:family w:val="auto"/>
    <w:pitch w:val="default"/>
    <w:sig w:usb0="00000001" w:usb1="080E0000" w:usb2="00000000" w:usb3="00000000" w:csb0="00040000" w:csb1="00000000"/>
    <w:embedRegular r:id="rId5" w:fontKey="{C00ECA0B-79E8-43A3-9F04-CBD5C9F9C1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067294D"/>
    <w:rsid w:val="00046E7B"/>
    <w:rsid w:val="00095263"/>
    <w:rsid w:val="00095F6B"/>
    <w:rsid w:val="001032EC"/>
    <w:rsid w:val="001730A8"/>
    <w:rsid w:val="001B6037"/>
    <w:rsid w:val="001E5536"/>
    <w:rsid w:val="001F532C"/>
    <w:rsid w:val="00242C26"/>
    <w:rsid w:val="00280EFF"/>
    <w:rsid w:val="00296D3C"/>
    <w:rsid w:val="00373783"/>
    <w:rsid w:val="00447753"/>
    <w:rsid w:val="004923F9"/>
    <w:rsid w:val="00566A06"/>
    <w:rsid w:val="0057510D"/>
    <w:rsid w:val="005D3C5B"/>
    <w:rsid w:val="00654E40"/>
    <w:rsid w:val="00750DB4"/>
    <w:rsid w:val="00767D46"/>
    <w:rsid w:val="00836362"/>
    <w:rsid w:val="0083794B"/>
    <w:rsid w:val="00851D12"/>
    <w:rsid w:val="0086119D"/>
    <w:rsid w:val="00874F0A"/>
    <w:rsid w:val="00875628"/>
    <w:rsid w:val="00877B1C"/>
    <w:rsid w:val="008A0BC2"/>
    <w:rsid w:val="008D3B91"/>
    <w:rsid w:val="00903B1E"/>
    <w:rsid w:val="009B5E82"/>
    <w:rsid w:val="009C61C3"/>
    <w:rsid w:val="00A44E0D"/>
    <w:rsid w:val="00A55ABB"/>
    <w:rsid w:val="00A779C8"/>
    <w:rsid w:val="00B72C2A"/>
    <w:rsid w:val="00C13798"/>
    <w:rsid w:val="00C52B68"/>
    <w:rsid w:val="00C83143"/>
    <w:rsid w:val="00D30522"/>
    <w:rsid w:val="00D36F57"/>
    <w:rsid w:val="00DA3FB8"/>
    <w:rsid w:val="00DA41B6"/>
    <w:rsid w:val="00DB3581"/>
    <w:rsid w:val="00DE19AC"/>
    <w:rsid w:val="00EA5EC4"/>
    <w:rsid w:val="00F5740E"/>
    <w:rsid w:val="00FD23BB"/>
    <w:rsid w:val="01E359E7"/>
    <w:rsid w:val="05930CEA"/>
    <w:rsid w:val="095D1E10"/>
    <w:rsid w:val="18A764CB"/>
    <w:rsid w:val="22937A33"/>
    <w:rsid w:val="3F590BF0"/>
    <w:rsid w:val="4067294D"/>
    <w:rsid w:val="50893506"/>
    <w:rsid w:val="556639A8"/>
    <w:rsid w:val="6EB37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0"/>
    <w:semiHidden/>
    <w:unhideWhenUsed/>
    <w:qFormat/>
    <w:uiPriority w:val="1"/>
    <w:pPr>
      <w:autoSpaceDE w:val="0"/>
      <w:autoSpaceDN w:val="0"/>
      <w:spacing w:line="575" w:lineRule="exact"/>
      <w:ind w:left="967"/>
      <w:jc w:val="left"/>
      <w:outlineLvl w:val="1"/>
    </w:pPr>
    <w:rPr>
      <w:rFonts w:ascii="微软雅黑" w:hAnsi="微软雅黑" w:eastAsia="微软雅黑" w:cs="微软雅黑"/>
      <w:b/>
      <w:bCs/>
      <w:kern w:val="0"/>
      <w:sz w:val="32"/>
      <w:szCs w:val="32"/>
      <w:lang w:val="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autoSpaceDE w:val="0"/>
      <w:autoSpaceDN w:val="0"/>
      <w:spacing w:before="100" w:beforeAutospacing="1" w:after="100" w:afterAutospacing="1"/>
      <w:jc w:val="left"/>
    </w:pPr>
    <w:rPr>
      <w:rFonts w:ascii="宋体" w:hAnsi="宋体"/>
      <w:kern w:val="0"/>
      <w:sz w:val="24"/>
    </w:rPr>
  </w:style>
  <w:style w:type="character" w:customStyle="1" w:styleId="9">
    <w:name w:val="页眉 Char"/>
    <w:basedOn w:val="8"/>
    <w:link w:val="5"/>
    <w:qFormat/>
    <w:uiPriority w:val="0"/>
    <w:rPr>
      <w:rFonts w:ascii="Calibri" w:hAnsi="Calibri"/>
      <w:kern w:val="2"/>
      <w:sz w:val="18"/>
      <w:szCs w:val="18"/>
    </w:rPr>
  </w:style>
  <w:style w:type="character" w:customStyle="1" w:styleId="10">
    <w:name w:val="标题 2 Char"/>
    <w:basedOn w:val="8"/>
    <w:link w:val="3"/>
    <w:semiHidden/>
    <w:qFormat/>
    <w:uiPriority w:val="1"/>
    <w:rPr>
      <w:rFonts w:ascii="微软雅黑" w:hAnsi="微软雅黑" w:eastAsia="微软雅黑" w:cs="微软雅黑"/>
      <w:b/>
      <w:bCs/>
      <w:sz w:val="32"/>
      <w:szCs w:val="32"/>
      <w:lang w:val="zh-CN" w:bidi="zh-CN"/>
    </w:rPr>
  </w:style>
  <w:style w:type="character" w:customStyle="1" w:styleId="11">
    <w:name w:val="正文文本 Char"/>
    <w:basedOn w:val="8"/>
    <w:link w:val="2"/>
    <w:qFormat/>
    <w:uiPriority w:val="1"/>
    <w:rPr>
      <w:rFonts w:ascii="Calibri" w:hAnsi="Calibri"/>
      <w:kern w:val="2"/>
      <w:sz w:val="21"/>
      <w:szCs w:val="22"/>
    </w:rPr>
  </w:style>
  <w:style w:type="paragraph" w:customStyle="1" w:styleId="12">
    <w:name w:val="自评报告正文"/>
    <w:basedOn w:val="6"/>
    <w:qFormat/>
    <w:uiPriority w:val="0"/>
    <w:pPr>
      <w:spacing w:line="360" w:lineRule="auto"/>
      <w:ind w:firstLine="643" w:firstLineChars="200"/>
    </w:pPr>
    <w:rPr>
      <w:rFonts w:ascii="Calibri" w:hAnsi="Calibri" w:eastAsia="仿宋"/>
      <w:sz w:val="28"/>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1613</Words>
  <Characters>9200</Characters>
  <Lines>76</Lines>
  <Paragraphs>21</Paragraphs>
  <TotalTime>218</TotalTime>
  <ScaleCrop>false</ScaleCrop>
  <LinksUpToDate>false</LinksUpToDate>
  <CharactersWithSpaces>10792</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2021-10-22T06:56:00Z</dcterms:created>
  <dc:creator>DELL</dc:creator>
  <lastModifiedBy>黑雨</lastModifiedBy>
  <lastPrinted>2021-10-22T06:56:00Z</lastPrinted>
  <dcterms:modified xsi:type="dcterms:W3CDTF">2021-11-22T10:18:47Z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AF53914C7BEE4F3CAFA31479081632C2</vt:lpwstr>
  </property>
</Properties>
</file>