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教师教育课程标准（试行）</w:t>
      </w:r>
    </w:p>
    <w:p>
      <w:pPr>
        <w:snapToGrid w:val="0"/>
        <w:spacing w:line="560" w:lineRule="exact"/>
        <w:jc w:val="center"/>
        <w:rPr>
          <w:rFonts w:hint="eastAsia" w:asciiTheme="minorEastAsia" w:hAnsiTheme="minorEastAsia" w:eastAsiaTheme="minorEastAsia" w:cstheme="minorEastAsia"/>
          <w:b w:val="0"/>
          <w:bCs/>
          <w:sz w:val="36"/>
          <w:szCs w:val="36"/>
        </w:rPr>
      </w:pPr>
      <w:r>
        <w:rPr>
          <w:rFonts w:hint="eastAsia" w:asciiTheme="minorEastAsia" w:hAnsiTheme="minorEastAsia" w:eastAsiaTheme="minorEastAsia" w:cstheme="minorEastAsia"/>
          <w:b w:val="0"/>
          <w:bCs/>
          <w:sz w:val="36"/>
          <w:szCs w:val="36"/>
        </w:rPr>
        <w:t>(教育部2011-10-08)</w:t>
      </w:r>
    </w:p>
    <w:p>
      <w:pPr>
        <w:snapToGrid w:val="0"/>
        <w:spacing w:line="560" w:lineRule="exact"/>
        <w:ind w:firstLine="420" w:firstLineChars="200"/>
        <w:jc w:val="center"/>
        <w:rPr>
          <w:rFonts w:hint="eastAsia"/>
        </w:rPr>
      </w:pPr>
    </w:p>
    <w:p>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为落实教育规划纲要，深化教师教育改革，规范和引导教师教育课程与教学，培养造就高素质专业化教师队伍，特制定《教师教育课程标准（试行）》。</w:t>
      </w:r>
    </w:p>
    <w:p>
      <w:pPr>
        <w:pStyle w:val="2"/>
        <w:keepNext w:val="0"/>
        <w:keepLines w:val="0"/>
        <w:pageBreakBefore w:val="0"/>
        <w:widowControl w:val="0"/>
        <w:kinsoku/>
        <w:wordWrap/>
        <w:overflowPunct/>
        <w:topLinePunct w:val="0"/>
        <w:autoSpaceDE/>
        <w:autoSpaceDN/>
        <w:bidi w:val="0"/>
        <w:adjustRightInd/>
        <w:spacing w:line="500" w:lineRule="exact"/>
        <w:ind w:firstLine="600"/>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教师教育课程广义上包括教师教育机构为培养和培训幼儿园、小学和中学教师所开设的公共基础课程、学科专业课程和教育类课程。本课程标准专指教育类课程。</w:t>
      </w:r>
    </w:p>
    <w:p>
      <w:pPr>
        <w:pStyle w:val="2"/>
        <w:keepNext w:val="0"/>
        <w:keepLines w:val="0"/>
        <w:pageBreakBefore w:val="0"/>
        <w:widowControl w:val="0"/>
        <w:kinsoku/>
        <w:wordWrap/>
        <w:overflowPunct/>
        <w:topLinePunct w:val="0"/>
        <w:autoSpaceDE/>
        <w:autoSpaceDN/>
        <w:bidi w:val="0"/>
        <w:adjustRightInd/>
        <w:spacing w:line="500" w:lineRule="exact"/>
        <w:ind w:firstLine="600"/>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color w:val="auto"/>
          <w:sz w:val="30"/>
          <w:szCs w:val="30"/>
        </w:rPr>
        <w:t>教师教育课程标准体现国家对教师教育机构设置教师教育课程的基本要求，是制定教师教育课程方案、开发教材与课程资源、开展教学与评价，以及认定教师资格的重要依据。</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一、基本理念</w:t>
      </w:r>
    </w:p>
    <w:p>
      <w:pPr>
        <w:keepNext w:val="0"/>
        <w:keepLines w:val="0"/>
        <w:pageBreakBefore w:val="0"/>
        <w:widowControl w:val="0"/>
        <w:kinsoku/>
        <w:wordWrap/>
        <w:overflowPunct/>
        <w:topLinePunct w:val="0"/>
        <w:autoSpaceDE/>
        <w:autoSpaceDN/>
        <w:bidi w:val="0"/>
        <w:adjustRightInd/>
        <w:snapToGrid w:val="0"/>
        <w:spacing w:line="500" w:lineRule="exact"/>
        <w:ind w:firstLine="602" w:firstLineChars="200"/>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（一）育人为本</w:t>
      </w:r>
    </w:p>
    <w:p>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师是中小学学生发展的促进者，在研究和帮助学生健康成长的过程中实现专业发展。教师教育课程应反映社会主义核心价值观，吸收研究新成果，体现社会进步对中小学学生发展的新要求。教师教育课程应引导未来教师树立正确的儿童观、学生观、教师观与教育观，掌握必备的教育知识与能力，参与教育实践，丰富专业体验；引导未来教师因材施教，关心和帮助每个中小学学生逐步树立正确的世界观、人生观、价值观，培养社会责任感、创新精神和实践能力。</w:t>
      </w:r>
    </w:p>
    <w:p>
      <w:pPr>
        <w:keepNext w:val="0"/>
        <w:keepLines w:val="0"/>
        <w:pageBreakBefore w:val="0"/>
        <w:widowControl w:val="0"/>
        <w:kinsoku/>
        <w:wordWrap/>
        <w:overflowPunct/>
        <w:topLinePunct w:val="0"/>
        <w:autoSpaceDE/>
        <w:autoSpaceDN/>
        <w:bidi w:val="0"/>
        <w:adjustRightInd/>
        <w:snapToGrid w:val="0"/>
        <w:spacing w:line="500" w:lineRule="exact"/>
        <w:ind w:firstLine="596" w:firstLineChars="198"/>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（二）实践取向</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师是反思性实践者，在研究自身经验和改进教育教学行为的过程中实现专业发展。教师教育课程应强化实践意识，关注现实问题，体现教育改革与发展对教师的新要求。教师教育课程应引导未来教师参与和研究基础教育改革，主动建构教育知识，发展实践能力；引导未来教师发现和解决实际问题，创新教育教学模式，形成个人的教学风格和实践智慧。</w:t>
      </w:r>
    </w:p>
    <w:p>
      <w:pPr>
        <w:keepNext w:val="0"/>
        <w:keepLines w:val="0"/>
        <w:pageBreakBefore w:val="0"/>
        <w:widowControl w:val="0"/>
        <w:kinsoku/>
        <w:wordWrap/>
        <w:overflowPunct/>
        <w:topLinePunct w:val="0"/>
        <w:autoSpaceDE/>
        <w:autoSpaceDN/>
        <w:bidi w:val="0"/>
        <w:adjustRightInd/>
        <w:snapToGrid w:val="0"/>
        <w:spacing w:line="500" w:lineRule="exact"/>
        <w:ind w:firstLine="596" w:firstLineChars="198"/>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（三）终身学习</w:t>
      </w:r>
    </w:p>
    <w:p>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师是终身学习者，在持续学习和不断完善自身素质的过程中实现专业发展。教师教育课程应实现职前教育与在职教育的一体化，增强适应性和开放性，体现学习型社会对个体的新要求。教师教育课程应引导未来教师树立正确的专业理想，掌握必备的知识与技能，养成独立思考和自主学习的习惯；引导教师加深专业理解，更新知识结构，形成终身学习和应对挑战的能力。</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二、中学职前教师教育课程目标与课程设置</w:t>
      </w:r>
    </w:p>
    <w:p>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30"/>
          <w:szCs w:val="30"/>
        </w:rPr>
        <w:t>中学职前教师教育课程要引导未来教师理解青春期的特点及其对中学生生活的影响，学习指导他们安全度过青春期；理解中学生的认知特点与学习方式，学会创建学习环境，鼓励独立思考，指导他们用多种方式探究学科知识；理解中学生的人格与文化特点，学会尊重他们的自我意识，指导他们规划自己的人生，在多样化的活动中发展社会实践能力。</w:t>
      </w:r>
    </w:p>
    <w:p>
      <w:pPr>
        <w:snapToGrid w:val="0"/>
        <w:spacing w:line="560" w:lineRule="exact"/>
        <w:ind w:firstLine="602" w:firstLineChars="200"/>
        <w:rPr>
          <w:rFonts w:hint="eastAsia" w:ascii="仿宋_GB2312" w:eastAsia="仿宋_GB2312"/>
          <w:b/>
          <w:bCs/>
          <w:sz w:val="30"/>
          <w:szCs w:val="30"/>
        </w:rPr>
      </w:pPr>
      <w:r>
        <w:rPr>
          <w:rFonts w:hint="eastAsia" w:ascii="仿宋_GB2312" w:eastAsia="仿宋_GB2312"/>
          <w:b/>
          <w:bCs/>
          <w:sz w:val="30"/>
          <w:szCs w:val="30"/>
        </w:rPr>
        <w:t>1．课程目标</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80"/>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28"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eastAsia="仿宋_GB2312"/>
                <w:b/>
                <w:bCs/>
                <w:sz w:val="24"/>
              </w:rPr>
            </w:pPr>
            <w:r>
              <w:rPr>
                <w:rFonts w:hint="eastAsia" w:ascii="仿宋_GB2312" w:eastAsia="仿宋_GB2312"/>
                <w:b/>
                <w:bCs/>
                <w:sz w:val="24"/>
              </w:rPr>
              <w:t>目标领域</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eastAsia="仿宋_GB2312"/>
                <w:b/>
                <w:bCs/>
                <w:sz w:val="24"/>
              </w:rPr>
            </w:pPr>
            <w:r>
              <w:rPr>
                <w:rFonts w:hint="eastAsia" w:ascii="仿宋_GB2312" w:eastAsia="仿宋_GB2312"/>
                <w:b/>
                <w:bCs/>
                <w:sz w:val="24"/>
              </w:rPr>
              <w:t>目标</w:t>
            </w:r>
          </w:p>
        </w:tc>
        <w:tc>
          <w:tcPr>
            <w:tcW w:w="6314"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eastAsia="仿宋_GB2312"/>
                <w:b/>
                <w:bCs/>
                <w:sz w:val="24"/>
              </w:rPr>
            </w:pPr>
            <w:r>
              <w:rPr>
                <w:rFonts w:hint="eastAsia" w:ascii="仿宋_GB2312" w:eastAsia="仿宋_GB2312"/>
                <w:b/>
                <w:bCs/>
                <w:sz w:val="24"/>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1</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教</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育</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信</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念</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与</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责</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b/>
                <w:sz w:val="24"/>
              </w:rPr>
              <w:t>任</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1.1具有正确的学生观和相应的行为</w:t>
            </w:r>
          </w:p>
        </w:tc>
        <w:tc>
          <w:tcPr>
            <w:tcW w:w="6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Cs/>
                <w:sz w:val="24"/>
              </w:rPr>
            </w:pPr>
            <w:r>
              <w:rPr>
                <w:rFonts w:hint="eastAsia" w:ascii="仿宋_GB2312" w:eastAsia="仿宋_GB2312"/>
                <w:bCs/>
                <w:sz w:val="24"/>
              </w:rPr>
              <w:t>1.1.1理解中学阶段在人生发展中的独特地位和价值，认识积极主动的中学生活对中学生发展的意义。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Cs/>
                <w:sz w:val="24"/>
              </w:rPr>
            </w:pPr>
            <w:r>
              <w:rPr>
                <w:rFonts w:hint="eastAsia" w:ascii="仿宋_GB2312" w:eastAsia="仿宋_GB2312"/>
                <w:bCs/>
                <w:sz w:val="24"/>
              </w:rPr>
              <w:t>1.1.2尊重学生的学习和发展的权利，保护学生的学习自主性、独立性与选择性。</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Cs/>
                <w:sz w:val="24"/>
              </w:rPr>
            </w:pPr>
            <w:r>
              <w:rPr>
                <w:rFonts w:hint="eastAsia" w:ascii="仿宋_GB2312" w:eastAsia="仿宋_GB2312"/>
                <w:bCs/>
                <w:sz w:val="24"/>
              </w:rPr>
              <w:t>1.1.3尊重学生的个体差异，相信学生具有发展的潜力，乐于为学生创造发展的条件和机会。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1.2具有正确的教师观和相应的行为</w:t>
            </w:r>
          </w:p>
        </w:tc>
        <w:tc>
          <w:tcPr>
            <w:tcW w:w="6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Cs/>
                <w:sz w:val="24"/>
              </w:rPr>
            </w:pPr>
            <w:r>
              <w:rPr>
                <w:rFonts w:hint="eastAsia" w:ascii="仿宋_GB2312" w:eastAsia="仿宋_GB2312"/>
                <w:bCs/>
                <w:sz w:val="24"/>
              </w:rPr>
              <w:t>1.2.1理解教师是学生学习的促进者，相信教师工作的意义在于创造条件帮助学生自主发展。</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Cs/>
                <w:sz w:val="24"/>
              </w:rPr>
            </w:pPr>
            <w:r>
              <w:rPr>
                <w:rFonts w:hint="eastAsia" w:ascii="仿宋_GB2312" w:eastAsia="仿宋_GB2312"/>
                <w:bCs/>
                <w:sz w:val="24"/>
              </w:rPr>
              <w:t>1.2.2了解中学教师的职业特点和专业要求，自觉提高自身的科学与人文素养，形成终身学习的意愿。</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Cs/>
                <w:sz w:val="24"/>
              </w:rPr>
            </w:pPr>
            <w:r>
              <w:rPr>
                <w:rFonts w:hint="eastAsia" w:ascii="仿宋_GB2312" w:eastAsia="仿宋_GB2312"/>
                <w:bCs/>
                <w:sz w:val="24"/>
              </w:rPr>
              <w:t>1.2.3了解教师的权利与责任，遵守教师职业道德。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1.3具有正确的教育观和相应的行为</w:t>
            </w:r>
          </w:p>
        </w:tc>
        <w:tc>
          <w:tcPr>
            <w:tcW w:w="6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Cs/>
                <w:sz w:val="24"/>
              </w:rPr>
            </w:pPr>
            <w:r>
              <w:rPr>
                <w:rFonts w:hint="eastAsia" w:ascii="仿宋_GB2312" w:eastAsia="仿宋_GB2312"/>
                <w:bCs/>
                <w:sz w:val="24"/>
              </w:rPr>
              <w:t>1.3.1理解教育对学生成长、教师自身发展和社会进步的重要意义，相信教育充满了创造的乐趣，愿意从事中学教育事业。</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Cs/>
                <w:sz w:val="24"/>
              </w:rPr>
            </w:pPr>
            <w:r>
              <w:rPr>
                <w:rFonts w:hint="eastAsia" w:ascii="仿宋_GB2312" w:eastAsia="仿宋_GB2312"/>
                <w:bCs/>
                <w:sz w:val="24"/>
              </w:rPr>
              <w:t>1.3.2了解人类教育的历史、现状和发展趋势，认同素质教育理念，理解并参与教育改革。</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Cs/>
                <w:sz w:val="24"/>
              </w:rPr>
            </w:pPr>
            <w:r>
              <w:rPr>
                <w:rFonts w:hint="eastAsia" w:ascii="仿宋_GB2312" w:eastAsia="仿宋_GB2312"/>
                <w:bCs/>
                <w:sz w:val="24"/>
              </w:rPr>
              <w:t>1.3.3形成正确的教育质量观，对与学校教育相关的现象进行专业思考与判断。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2</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教</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育</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知</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与</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能</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b/>
                <w:sz w:val="24"/>
              </w:rPr>
              <w:t>力</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2.1具有理解学生的知识与技能</w:t>
            </w:r>
          </w:p>
        </w:tc>
        <w:tc>
          <w:tcPr>
            <w:tcW w:w="6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2.1.1了解儿童发展的主要理论和最新研究成果。</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2.1.2了解儿童身心发展的一般规律和影响因素，熟悉中学生年龄特征和个体发展的差异性。</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2.1.3了解中学生的认知发展、学习方式的特点及影响因素，熟悉中学生建构知识和获得技能的过程。</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2.1.4了解中学生品德和行为习惯形成的过程，了解中学生交往的特点，理解同伴交往对中学生发展的影响。</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2.1.5掌握观察、谈话、倾听、作品分析等方法，理解中学生学习和发展的需要。</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2.1.6了解我国教育的政策法规，熟悉关于儿童权利的内容以及维护儿童合法权益的途径。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2.2具有教育学生的知识和能力</w:t>
            </w:r>
          </w:p>
        </w:tc>
        <w:tc>
          <w:tcPr>
            <w:tcW w:w="63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2.2.1了解中学教育的培养目标，熟悉任教学科的课程标准，学会依据课程标准制定教学目标或活动目标。</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2.2.2熟悉任教学科的教学内容和方法，学会联系并运用中学生生活经验和相关课程资源，设计教育活动，创设促进中学生学习的课堂环境。</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2.2.3了解课堂评价的理论与技术，学会通过评价改进教学与促进学生学习。</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2.2.4了解活动课程开发的知识，学会开发校本课程，设计与指导课外、校外活动。</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2.2.5了解班级管理的基本方法，学会引导中学生进行自我管理和形成集体观念。</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2.2.6了解中学生心理健康教育的基本知识，学会处理中学生特别是青春期常见的心理和行为问题。</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 xml:space="preserve">2.2.7掌握教师所必需的语言技能、沟通与合作技能、运用现代教育技术的技能。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2.3具有发展自我的知识与能力</w:t>
            </w:r>
          </w:p>
        </w:tc>
        <w:tc>
          <w:tcPr>
            <w:tcW w:w="6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2.3.1了解教师专业素养的核心内容，明确自身专业发展的重点。</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2.3.2了解教师专业发展的阶段与途径，熟悉教师专业发展规划的一般方法，学会理解和分享优秀教师的成长经验。</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2.3.3了解教师专业发展的影响因素，学会利用以课程学习为主的各种机会积累发展的经验。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3</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教</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育</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实</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践</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与</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b/>
                <w:sz w:val="24"/>
              </w:rPr>
            </w:pPr>
            <w:r>
              <w:rPr>
                <w:rFonts w:hint="eastAsia" w:ascii="仿宋_GB2312" w:eastAsia="仿宋_GB2312"/>
                <w:b/>
                <w:sz w:val="24"/>
              </w:rPr>
              <w:t>体</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b/>
                <w:sz w:val="24"/>
              </w:rPr>
              <w:t>验</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3.1具有观摩教育实践的经历与体验</w:t>
            </w:r>
          </w:p>
        </w:tc>
        <w:tc>
          <w:tcPr>
            <w:tcW w:w="6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3.1.1观摩中学课堂教学，了解中学课堂教学的规范与过程，感受不同的教学风格。</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3.1.2深入班级或其他学生组织，了解中学班级管理的内容和要求，获得与学生直接交往的体验。</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3.1.3深入中学，了解中学的组织结构与运作机制。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3.2具有参与教育实践的经历与体验</w:t>
            </w:r>
          </w:p>
        </w:tc>
        <w:tc>
          <w:tcPr>
            <w:tcW w:w="6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3.2.1 在有指导的情况下，根据学生的特点，设计与实施教学方案，获得对学科教学的真实感受和初步经验。</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3.2.2 在有指导的情况下，参与指导学习、管理班级和组织活动，获得与家庭、社区联系的经历。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 xml:space="preserve">3.2.3 参与各种教研活动，获得与其他教师直接对话或交流的机会。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3.3具有研究教育实践的经历与体验</w:t>
            </w:r>
          </w:p>
        </w:tc>
        <w:tc>
          <w:tcPr>
            <w:tcW w:w="6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3.3.1在日常学习和实践过程中积累所学所思所想，形成问题意识和一定的解决问题的能力。</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3.3.2了解研究教育实践的一般方法，经历和体验制订计划、开展活动、完成报告、分享结果的过程。</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3.3.3参与各种类型的科研活动，获得科学地研究学生的经历与体验。</w:t>
            </w:r>
          </w:p>
        </w:tc>
      </w:tr>
    </w:tbl>
    <w:p>
      <w:pPr>
        <w:snapToGrid w:val="0"/>
        <w:spacing w:line="560" w:lineRule="exact"/>
        <w:ind w:firstLine="590" w:firstLineChars="196"/>
        <w:rPr>
          <w:rFonts w:hint="eastAsia" w:ascii="仿宋_GB2312" w:eastAsia="仿宋_GB2312"/>
          <w:b/>
          <w:sz w:val="30"/>
          <w:szCs w:val="30"/>
        </w:rPr>
      </w:pPr>
    </w:p>
    <w:p>
      <w:pPr>
        <w:snapToGrid w:val="0"/>
        <w:spacing w:line="560" w:lineRule="exact"/>
        <w:ind w:firstLine="590" w:firstLineChars="196"/>
        <w:rPr>
          <w:rFonts w:hint="eastAsia" w:ascii="仿宋_GB2312" w:eastAsia="仿宋_GB2312"/>
          <w:b/>
          <w:sz w:val="30"/>
          <w:szCs w:val="30"/>
        </w:rPr>
      </w:pPr>
    </w:p>
    <w:p>
      <w:pPr>
        <w:snapToGrid w:val="0"/>
        <w:spacing w:line="560" w:lineRule="exact"/>
        <w:ind w:firstLine="590" w:firstLineChars="196"/>
        <w:rPr>
          <w:rFonts w:hint="eastAsia" w:ascii="仿宋_GB2312" w:eastAsia="仿宋_GB2312"/>
          <w:b/>
          <w:sz w:val="30"/>
          <w:szCs w:val="30"/>
        </w:rPr>
      </w:pPr>
    </w:p>
    <w:p>
      <w:pPr>
        <w:snapToGrid w:val="0"/>
        <w:spacing w:line="560" w:lineRule="exact"/>
        <w:ind w:firstLine="590" w:firstLineChars="196"/>
        <w:rPr>
          <w:rFonts w:hint="eastAsia" w:ascii="仿宋_GB2312" w:eastAsia="仿宋_GB2312"/>
          <w:b/>
          <w:sz w:val="30"/>
          <w:szCs w:val="30"/>
        </w:rPr>
      </w:pPr>
    </w:p>
    <w:p>
      <w:pPr>
        <w:snapToGrid w:val="0"/>
        <w:spacing w:line="560" w:lineRule="exact"/>
        <w:ind w:firstLine="590" w:firstLineChars="196"/>
        <w:rPr>
          <w:rFonts w:hint="eastAsia" w:ascii="仿宋_GB2312" w:eastAsia="仿宋_GB2312"/>
          <w:kern w:val="0"/>
          <w:sz w:val="30"/>
          <w:szCs w:val="30"/>
        </w:rPr>
      </w:pPr>
      <w:bookmarkStart w:id="0" w:name="_GoBack"/>
      <w:bookmarkEnd w:id="0"/>
      <w:r>
        <w:rPr>
          <w:rFonts w:hint="eastAsia" w:ascii="仿宋_GB2312" w:eastAsia="仿宋_GB2312"/>
          <w:b/>
          <w:sz w:val="30"/>
          <w:szCs w:val="30"/>
        </w:rPr>
        <w:t>2．课程设置</w:t>
      </w:r>
    </w:p>
    <w:tbl>
      <w:tblPr>
        <w:tblStyle w:val="5"/>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780"/>
        <w:gridCol w:w="1296"/>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48"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kern w:val="0"/>
                <w:sz w:val="24"/>
              </w:rPr>
            </w:pPr>
            <w:r>
              <w:rPr>
                <w:rFonts w:hint="eastAsia" w:ascii="仿宋_GB2312" w:eastAsia="仿宋_GB2312"/>
                <w:b/>
                <w:kern w:val="0"/>
                <w:sz w:val="24"/>
              </w:rPr>
              <w:t>学习领域</w:t>
            </w:r>
            <w:r>
              <w:rPr>
                <w:rFonts w:hint="eastAsia" w:eastAsia="仿宋_GB2312"/>
                <w:b/>
                <w:kern w:val="0"/>
                <w:sz w:val="24"/>
              </w:rPr>
              <w:t> </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kern w:val="0"/>
                <w:sz w:val="24"/>
              </w:rPr>
            </w:pPr>
          </w:p>
        </w:tc>
        <w:tc>
          <w:tcPr>
            <w:tcW w:w="3780"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kern w:val="0"/>
                <w:sz w:val="24"/>
              </w:rPr>
            </w:pPr>
            <w:r>
              <w:rPr>
                <w:rFonts w:hint="eastAsia" w:ascii="仿宋_GB2312" w:eastAsia="仿宋_GB2312"/>
                <w:b/>
                <w:kern w:val="0"/>
                <w:sz w:val="24"/>
              </w:rPr>
              <w:t>建议模块</w:t>
            </w:r>
            <w:r>
              <w:rPr>
                <w:rFonts w:hint="eastAsia" w:eastAsia="仿宋_GB2312"/>
                <w:b/>
                <w:kern w:val="0"/>
                <w:sz w:val="24"/>
              </w:rPr>
              <w:t> </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kern w:val="0"/>
                <w:sz w:val="24"/>
              </w:rPr>
            </w:pPr>
          </w:p>
        </w:tc>
        <w:tc>
          <w:tcPr>
            <w:tcW w:w="251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kern w:val="0"/>
                <w:sz w:val="24"/>
              </w:rPr>
            </w:pPr>
            <w:r>
              <w:rPr>
                <w:rFonts w:hint="eastAsia" w:ascii="仿宋_GB2312" w:eastAsia="仿宋_GB2312"/>
                <w:b/>
                <w:kern w:val="0"/>
                <w:sz w:val="24"/>
              </w:rPr>
              <w:t xml:space="preserve"> 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24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b/>
                <w:kern w:val="0"/>
                <w:sz w:val="24"/>
              </w:rPr>
            </w:pPr>
          </w:p>
        </w:tc>
        <w:tc>
          <w:tcPr>
            <w:tcW w:w="37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b/>
                <w:kern w:val="0"/>
                <w:sz w:val="24"/>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kern w:val="0"/>
                <w:sz w:val="24"/>
              </w:rPr>
            </w:pPr>
            <w:r>
              <w:rPr>
                <w:rFonts w:hint="eastAsia" w:ascii="仿宋_GB2312" w:eastAsia="仿宋_GB2312"/>
                <w:b/>
                <w:kern w:val="0"/>
                <w:sz w:val="24"/>
              </w:rPr>
              <w:t>三年制</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kern w:val="0"/>
                <w:sz w:val="24"/>
              </w:rPr>
            </w:pPr>
            <w:r>
              <w:rPr>
                <w:rFonts w:hint="eastAsia" w:ascii="仿宋_GB2312" w:eastAsia="仿宋_GB2312"/>
                <w:b/>
                <w:kern w:val="0"/>
                <w:sz w:val="24"/>
              </w:rPr>
              <w:t>专科</w:t>
            </w:r>
          </w:p>
        </w:tc>
        <w:tc>
          <w:tcPr>
            <w:tcW w:w="12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kern w:val="0"/>
                <w:sz w:val="24"/>
              </w:rPr>
            </w:pPr>
            <w:r>
              <w:rPr>
                <w:rFonts w:hint="eastAsia" w:ascii="仿宋_GB2312" w:eastAsia="仿宋_GB2312"/>
                <w:b/>
                <w:kern w:val="0"/>
                <w:sz w:val="24"/>
              </w:rPr>
              <w:t>四年制</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kern w:val="0"/>
                <w:sz w:val="24"/>
              </w:rPr>
            </w:pPr>
            <w:r>
              <w:rPr>
                <w:rFonts w:hint="eastAsia" w:ascii="仿宋_GB2312" w:eastAsia="仿宋_GB2312"/>
                <w:b/>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44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b/>
                <w:kern w:val="0"/>
                <w:sz w:val="24"/>
              </w:rPr>
            </w:pPr>
            <w:r>
              <w:rPr>
                <w:rFonts w:hint="eastAsia" w:ascii="仿宋_GB2312" w:eastAsia="仿宋_GB2312"/>
                <w:b/>
                <w:kern w:val="0"/>
                <w:sz w:val="24"/>
              </w:rPr>
              <w:t>1．儿童发展与学习</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b/>
                <w:kern w:val="0"/>
                <w:sz w:val="24"/>
              </w:rPr>
            </w:pPr>
            <w:r>
              <w:rPr>
                <w:rFonts w:hint="eastAsia" w:ascii="仿宋_GB2312" w:eastAsia="仿宋_GB2312"/>
                <w:b/>
                <w:kern w:val="0"/>
                <w:sz w:val="24"/>
              </w:rPr>
              <w:t>2．中学教育基础</w:t>
            </w:r>
          </w:p>
          <w:p>
            <w:pPr>
              <w:keepNext w:val="0"/>
              <w:keepLines w:val="0"/>
              <w:pageBreakBefore w:val="0"/>
              <w:widowControl/>
              <w:kinsoku/>
              <w:wordWrap/>
              <w:overflowPunct/>
              <w:topLinePunct w:val="0"/>
              <w:autoSpaceDE/>
              <w:autoSpaceDN/>
              <w:bidi w:val="0"/>
              <w:adjustRightInd/>
              <w:snapToGrid w:val="0"/>
              <w:spacing w:line="440" w:lineRule="exact"/>
              <w:ind w:left="354" w:hanging="354" w:hangingChars="147"/>
              <w:jc w:val="left"/>
              <w:textAlignment w:val="auto"/>
              <w:rPr>
                <w:rFonts w:hint="eastAsia" w:ascii="仿宋_GB2312" w:eastAsia="仿宋_GB2312"/>
                <w:b/>
                <w:kern w:val="0"/>
                <w:sz w:val="24"/>
              </w:rPr>
            </w:pPr>
          </w:p>
          <w:p>
            <w:pPr>
              <w:keepNext w:val="0"/>
              <w:keepLines w:val="0"/>
              <w:pageBreakBefore w:val="0"/>
              <w:widowControl/>
              <w:kinsoku/>
              <w:wordWrap/>
              <w:overflowPunct/>
              <w:topLinePunct w:val="0"/>
              <w:autoSpaceDE/>
              <w:autoSpaceDN/>
              <w:bidi w:val="0"/>
              <w:adjustRightInd/>
              <w:snapToGrid w:val="0"/>
              <w:spacing w:line="440" w:lineRule="exact"/>
              <w:ind w:left="354" w:hanging="354" w:hangingChars="147"/>
              <w:jc w:val="left"/>
              <w:textAlignment w:val="auto"/>
              <w:rPr>
                <w:rFonts w:hint="eastAsia" w:ascii="仿宋_GB2312" w:eastAsia="仿宋_GB2312"/>
                <w:b/>
                <w:kern w:val="0"/>
                <w:sz w:val="24"/>
              </w:rPr>
            </w:pPr>
            <w:r>
              <w:rPr>
                <w:rFonts w:hint="eastAsia" w:ascii="仿宋_GB2312" w:eastAsia="仿宋_GB2312"/>
                <w:b/>
                <w:kern w:val="0"/>
                <w:sz w:val="24"/>
              </w:rPr>
              <w:t>3．中学学科教育与活动指导</w:t>
            </w:r>
          </w:p>
          <w:p>
            <w:pPr>
              <w:keepNext w:val="0"/>
              <w:keepLines w:val="0"/>
              <w:pageBreakBefore w:val="0"/>
              <w:widowControl/>
              <w:kinsoku/>
              <w:wordWrap/>
              <w:overflowPunct/>
              <w:topLinePunct w:val="0"/>
              <w:autoSpaceDE/>
              <w:autoSpaceDN/>
              <w:bidi w:val="0"/>
              <w:adjustRightInd/>
              <w:snapToGrid w:val="0"/>
              <w:spacing w:line="440" w:lineRule="exact"/>
              <w:ind w:left="354" w:hanging="354" w:hangingChars="147"/>
              <w:jc w:val="left"/>
              <w:textAlignment w:val="auto"/>
              <w:rPr>
                <w:rFonts w:hint="eastAsia" w:ascii="仿宋_GB2312" w:eastAsia="仿宋_GB2312"/>
                <w:b/>
                <w:kern w:val="0"/>
                <w:sz w:val="24"/>
              </w:rPr>
            </w:pPr>
          </w:p>
          <w:p>
            <w:pPr>
              <w:keepNext w:val="0"/>
              <w:keepLines w:val="0"/>
              <w:pageBreakBefore w:val="0"/>
              <w:widowControl/>
              <w:kinsoku/>
              <w:wordWrap/>
              <w:overflowPunct/>
              <w:topLinePunct w:val="0"/>
              <w:autoSpaceDE/>
              <w:autoSpaceDN/>
              <w:bidi w:val="0"/>
              <w:adjustRightInd/>
              <w:snapToGrid w:val="0"/>
              <w:spacing w:line="440" w:lineRule="exact"/>
              <w:ind w:left="361" w:hanging="361" w:hangingChars="150"/>
              <w:jc w:val="left"/>
              <w:textAlignment w:val="auto"/>
              <w:rPr>
                <w:rFonts w:hint="eastAsia" w:ascii="仿宋_GB2312" w:eastAsia="仿宋_GB2312"/>
                <w:b/>
                <w:kern w:val="0"/>
                <w:sz w:val="24"/>
              </w:rPr>
            </w:pPr>
            <w:r>
              <w:rPr>
                <w:rFonts w:hint="eastAsia" w:ascii="仿宋_GB2312" w:eastAsia="仿宋_GB2312"/>
                <w:b/>
                <w:kern w:val="0"/>
                <w:sz w:val="24"/>
              </w:rPr>
              <w:t>4</w:t>
            </w:r>
            <w:r>
              <w:rPr>
                <w:rFonts w:hint="eastAsia" w:ascii="仿宋_GB2312" w:eastAsia="仿宋_GB2312"/>
                <w:b/>
                <w:sz w:val="24"/>
              </w:rPr>
              <w:t>．</w:t>
            </w:r>
            <w:r>
              <w:rPr>
                <w:rFonts w:hint="eastAsia" w:ascii="仿宋_GB2312" w:eastAsia="仿宋_GB2312"/>
                <w:b/>
                <w:kern w:val="0"/>
                <w:sz w:val="24"/>
              </w:rPr>
              <w:t>心理健康与道德教育</w:t>
            </w:r>
          </w:p>
          <w:p>
            <w:pPr>
              <w:keepNext w:val="0"/>
              <w:keepLines w:val="0"/>
              <w:pageBreakBefore w:val="0"/>
              <w:widowControl/>
              <w:kinsoku/>
              <w:wordWrap/>
              <w:overflowPunct/>
              <w:topLinePunct w:val="0"/>
              <w:autoSpaceDE/>
              <w:autoSpaceDN/>
              <w:bidi w:val="0"/>
              <w:adjustRightInd/>
              <w:snapToGrid w:val="0"/>
              <w:spacing w:line="440" w:lineRule="exact"/>
              <w:ind w:left="361" w:hanging="361" w:hangingChars="150"/>
              <w:jc w:val="left"/>
              <w:textAlignment w:val="auto"/>
              <w:rPr>
                <w:rFonts w:hint="eastAsia" w:ascii="仿宋_GB2312" w:eastAsia="仿宋_GB2312"/>
                <w:b/>
                <w:kern w:val="0"/>
                <w:sz w:val="24"/>
              </w:rPr>
            </w:pPr>
            <w:r>
              <w:rPr>
                <w:rFonts w:hint="eastAsia" w:ascii="仿宋_GB2312" w:eastAsia="仿宋_GB2312"/>
                <w:b/>
                <w:kern w:val="0"/>
                <w:sz w:val="24"/>
              </w:rPr>
              <w:t>5</w:t>
            </w:r>
            <w:r>
              <w:rPr>
                <w:rFonts w:hint="eastAsia" w:ascii="仿宋_GB2312" w:eastAsia="仿宋_GB2312"/>
                <w:b/>
                <w:sz w:val="24"/>
              </w:rPr>
              <w:t>．</w:t>
            </w:r>
            <w:r>
              <w:rPr>
                <w:rFonts w:hint="eastAsia" w:ascii="仿宋_GB2312" w:eastAsia="仿宋_GB2312"/>
                <w:b/>
                <w:kern w:val="0"/>
                <w:sz w:val="24"/>
              </w:rPr>
              <w:t>职业道德与专业发展</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kern w:val="0"/>
                <w:sz w:val="24"/>
              </w:rPr>
            </w:pPr>
          </w:p>
        </w:tc>
        <w:tc>
          <w:tcPr>
            <w:tcW w:w="3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kern w:val="0"/>
                <w:sz w:val="24"/>
              </w:rPr>
            </w:pPr>
            <w:r>
              <w:rPr>
                <w:rFonts w:hint="eastAsia" w:ascii="仿宋_GB2312" w:eastAsia="仿宋_GB2312"/>
                <w:kern w:val="0"/>
                <w:sz w:val="24"/>
              </w:rPr>
              <w:t>儿童发展；中学生认知与学习等。</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kern w:val="0"/>
                <w:sz w:val="24"/>
              </w:rPr>
            </w:pPr>
            <w:r>
              <w:rPr>
                <w:rFonts w:hint="eastAsia" w:ascii="仿宋_GB2312" w:eastAsia="仿宋_GB2312"/>
                <w:kern w:val="0"/>
                <w:sz w:val="24"/>
              </w:rPr>
              <w:t>教育哲学；课程设计与评价；有效教学；学校教育发展；班级管理等。</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kern w:val="0"/>
                <w:sz w:val="24"/>
              </w:rPr>
            </w:pPr>
            <w:r>
              <w:rPr>
                <w:rFonts w:hint="eastAsia" w:ascii="仿宋_GB2312" w:eastAsia="仿宋_GB2312"/>
                <w:kern w:val="0"/>
                <w:sz w:val="24"/>
              </w:rPr>
              <w:t>中学学科课程标准与教材研究；中学学科教学设计；中学综合实践活动等。</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kern w:val="0"/>
                <w:sz w:val="24"/>
              </w:rPr>
            </w:pPr>
            <w:r>
              <w:rPr>
                <w:rFonts w:hint="eastAsia" w:ascii="仿宋_GB2312" w:eastAsia="仿宋_GB2312"/>
                <w:kern w:val="0"/>
                <w:sz w:val="24"/>
              </w:rPr>
              <w:t>中学生心理辅导；中学生品德发展与道德教育等。</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_GB2312" w:eastAsia="仿宋_GB2312"/>
                <w:kern w:val="0"/>
                <w:sz w:val="24"/>
              </w:rPr>
            </w:pPr>
            <w:r>
              <w:rPr>
                <w:rFonts w:hint="eastAsia" w:ascii="仿宋_GB2312" w:eastAsia="仿宋_GB2312"/>
                <w:kern w:val="0"/>
                <w:sz w:val="24"/>
              </w:rPr>
              <w:t>教师职业道德；教师专业发展；教育研究方法；教师语言；现代教育技术应用等。</w:t>
            </w:r>
          </w:p>
        </w:tc>
        <w:tc>
          <w:tcPr>
            <w:tcW w:w="12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r>
              <w:rPr>
                <w:rFonts w:hint="eastAsia" w:ascii="仿宋_GB2312" w:eastAsia="仿宋_GB2312"/>
                <w:kern w:val="0"/>
                <w:sz w:val="24"/>
              </w:rPr>
              <w:t>最低必修学分</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r>
              <w:rPr>
                <w:rFonts w:hint="eastAsia" w:ascii="仿宋_GB2312" w:eastAsia="仿宋_GB2312"/>
                <w:kern w:val="0"/>
                <w:sz w:val="24"/>
              </w:rPr>
              <w:t>8</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r>
              <w:rPr>
                <w:rFonts w:hint="eastAsia" w:ascii="仿宋_GB2312" w:eastAsia="仿宋_GB2312"/>
                <w:kern w:val="0"/>
                <w:sz w:val="24"/>
              </w:rPr>
              <w:t>学分</w:t>
            </w:r>
          </w:p>
        </w:tc>
        <w:tc>
          <w:tcPr>
            <w:tcW w:w="12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bCs/>
                <w:kern w:val="0"/>
                <w:sz w:val="24"/>
              </w:rPr>
            </w:pPr>
            <w:r>
              <w:rPr>
                <w:rFonts w:hint="eastAsia" w:ascii="仿宋_GB2312" w:eastAsia="仿宋_GB2312"/>
                <w:b/>
                <w:bCs/>
                <w:kern w:val="0"/>
                <w:sz w:val="24"/>
              </w:rPr>
              <w:t>最低必修学分</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b/>
                <w:bCs/>
                <w:kern w:val="0"/>
                <w:sz w:val="24"/>
              </w:rPr>
            </w:pPr>
            <w:r>
              <w:rPr>
                <w:rFonts w:hint="eastAsia" w:ascii="仿宋_GB2312" w:eastAsia="仿宋_GB2312"/>
                <w:b/>
                <w:bCs/>
                <w:kern w:val="0"/>
                <w:sz w:val="24"/>
              </w:rPr>
              <w:t>10</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r>
              <w:rPr>
                <w:rFonts w:hint="eastAsia" w:ascii="仿宋_GB2312" w:eastAsia="仿宋_GB2312"/>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244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_GB2312" w:eastAsia="仿宋_GB2312"/>
                <w:b/>
                <w:kern w:val="0"/>
                <w:sz w:val="24"/>
              </w:rPr>
            </w:pPr>
            <w:r>
              <w:rPr>
                <w:rFonts w:hint="eastAsia" w:ascii="仿宋_GB2312" w:eastAsia="仿宋_GB2312"/>
                <w:b/>
                <w:kern w:val="0"/>
                <w:sz w:val="24"/>
              </w:rPr>
              <w:t>6．教育实践</w:t>
            </w:r>
          </w:p>
        </w:tc>
        <w:tc>
          <w:tcPr>
            <w:tcW w:w="37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_GB2312" w:eastAsia="仿宋_GB2312"/>
                <w:kern w:val="0"/>
                <w:sz w:val="24"/>
              </w:rPr>
            </w:pPr>
            <w:r>
              <w:rPr>
                <w:rFonts w:hint="eastAsia" w:ascii="仿宋_GB2312" w:eastAsia="仿宋_GB2312"/>
                <w:kern w:val="0"/>
                <w:sz w:val="24"/>
              </w:rPr>
              <w:t>教育见习；教育实习。</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r>
              <w:rPr>
                <w:rFonts w:hint="eastAsia" w:ascii="仿宋_GB2312" w:eastAsia="仿宋_GB2312"/>
                <w:kern w:val="0"/>
                <w:sz w:val="24"/>
              </w:rPr>
              <w:t>18周</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r>
              <w:rPr>
                <w:rFonts w:hint="eastAsia" w:ascii="仿宋_GB2312" w:eastAsia="仿宋_GB2312"/>
                <w:kern w:val="0"/>
                <w:sz w:val="24"/>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2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仿宋_GB2312" w:eastAsia="仿宋_GB2312"/>
                <w:b/>
                <w:kern w:val="0"/>
                <w:sz w:val="24"/>
              </w:rPr>
            </w:pPr>
            <w:r>
              <w:rPr>
                <w:rFonts w:hint="eastAsia" w:ascii="仿宋_GB2312" w:eastAsia="仿宋_GB2312"/>
                <w:b/>
                <w:kern w:val="0"/>
                <w:sz w:val="24"/>
              </w:rPr>
              <w:t>教师教育课程最低总学分数（含选修课程）</w:t>
            </w:r>
          </w:p>
        </w:tc>
        <w:tc>
          <w:tcPr>
            <w:tcW w:w="12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r>
              <w:rPr>
                <w:rFonts w:hint="eastAsia" w:ascii="仿宋_GB2312" w:eastAsia="仿宋_GB2312"/>
                <w:kern w:val="0"/>
                <w:sz w:val="24"/>
              </w:rPr>
              <w:t>12学分+18周</w:t>
            </w:r>
          </w:p>
        </w:tc>
        <w:tc>
          <w:tcPr>
            <w:tcW w:w="12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eastAsia="仿宋_GB2312"/>
                <w:kern w:val="0"/>
                <w:sz w:val="24"/>
              </w:rPr>
            </w:pPr>
            <w:r>
              <w:rPr>
                <w:rFonts w:hint="eastAsia" w:ascii="仿宋_GB2312" w:eastAsia="仿宋_GB2312"/>
                <w:kern w:val="0"/>
                <w:sz w:val="24"/>
              </w:rPr>
              <w:t>14学分+18周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3"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说明：</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仿宋_GB2312" w:eastAsia="仿宋_GB2312"/>
                <w:kern w:val="0"/>
                <w:sz w:val="24"/>
              </w:rPr>
            </w:pPr>
            <w:r>
              <w:rPr>
                <w:rFonts w:hint="eastAsia" w:ascii="仿宋_GB2312" w:eastAsia="仿宋_GB2312"/>
                <w:sz w:val="24"/>
              </w:rPr>
              <w:t>（1）1学分相当于学生在教师指导下进行课程学习18课时，并经考核合格。</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仿宋_GB2312" w:eastAsia="仿宋_GB2312"/>
                <w:sz w:val="24"/>
              </w:rPr>
            </w:pPr>
            <w:r>
              <w:rPr>
                <w:rFonts w:hint="eastAsia" w:ascii="仿宋_GB2312" w:eastAsia="仿宋_GB2312"/>
                <w:sz w:val="24"/>
              </w:rPr>
              <w:t>（2）学习领域是每个学习者都必修的；建议模块供教师教育机构或学习者选择或组合，可以是必修也可以是选修；每个学习领域或模块的学分数由教师教育机构按相关规定自主确定。</w:t>
            </w:r>
          </w:p>
        </w:tc>
      </w:tr>
    </w:tbl>
    <w:p>
      <w:pPr>
        <w:keepNext w:val="0"/>
        <w:keepLines w:val="0"/>
        <w:pageBreakBefore w:val="0"/>
        <w:kinsoku/>
        <w:wordWrap/>
        <w:overflowPunct/>
        <w:topLinePunct w:val="0"/>
        <w:autoSpaceDE/>
        <w:autoSpaceDN/>
        <w:bidi w:val="0"/>
        <w:adjustRightInd/>
        <w:snapToGrid w:val="0"/>
        <w:spacing w:line="440" w:lineRule="exact"/>
        <w:ind w:firstLine="472" w:firstLineChars="196"/>
        <w:textAlignment w:val="auto"/>
        <w:rPr>
          <w:rFonts w:eastAsia="仿宋_GB2312"/>
          <w:b/>
          <w:sz w:val="24"/>
        </w:rPr>
      </w:pPr>
    </w:p>
    <w:p>
      <w:pPr>
        <w:keepNext w:val="0"/>
        <w:keepLines w:val="0"/>
        <w:pageBreakBefore w:val="0"/>
        <w:kinsoku/>
        <w:wordWrap/>
        <w:overflowPunct/>
        <w:topLinePunct w:val="0"/>
        <w:autoSpaceDE/>
        <w:autoSpaceDN/>
        <w:bidi w:val="0"/>
        <w:adjustRightInd/>
        <w:spacing w:line="44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B6A3E"/>
    <w:rsid w:val="2EC603BA"/>
    <w:rsid w:val="57AB6A3E"/>
    <w:rsid w:val="61665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napToGrid w:val="0"/>
      <w:spacing w:line="300" w:lineRule="exact"/>
      <w:ind w:firstLine="480" w:firstLineChars="200"/>
    </w:pPr>
    <w:rPr>
      <w:rFonts w:eastAsia="仿宋_GB2312"/>
      <w:color w:val="000000"/>
      <w:sz w:val="24"/>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2019-03-22T01:21:00Z</dcterms:created>
  <dc:creator>Administrator</dc:creator>
  <cp:lastModifiedBy>苍梧子</cp:lastModifiedBy>
  <dcterms:modified xsi:type="dcterms:W3CDTF">2019-07-16T12:53:17Z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