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
  <Relationship Id="rId1" Type="http://schemas.openxmlformats.org/officeDocument/2006/relationships/extended-properties" Target="docProps/app.xml"/>
  <Relationship Id="rId2" Type="http://schemas.openxmlformats.org/package/2006/relationships/metadata/core-properties" Target="docProps/core.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湖南科技学院</w:t>
      </w: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继续教育“十四五”建设与发展规划</w:t>
      </w:r>
    </w:p>
    <w:p>
      <w:pPr>
        <w:widowControl/>
        <w:spacing w:line="560" w:lineRule="exact"/>
        <w:ind w:firstLine="640" w:firstLineChars="200"/>
        <w:rPr>
          <w:rFonts w:ascii="方正仿宋_GB2312" w:hAnsi="方正仿宋_GB2312" w:eastAsia="方正仿宋_GB2312" w:cs="方正仿宋_GB2312"/>
          <w:color w:val="000000"/>
          <w:kern w:val="0"/>
          <w:sz w:val="32"/>
          <w:szCs w:val="32"/>
        </w:rPr>
      </w:pPr>
    </w:p>
    <w:p>
      <w:pPr>
        <w:adjustRightInd w:val="0"/>
        <w:snapToGrid w:val="0"/>
        <w:spacing w:line="576" w:lineRule="exact"/>
        <w:ind w:firstLine="640" w:firstLineChars="200"/>
        <w:textAlignment w:val="center"/>
        <w:rPr>
          <w:rFonts w:ascii="仿宋_GB2312" w:hAnsi="仿宋_GB2312" w:eastAsia="仿宋_GB2312" w:cs="仿宋_GB2312"/>
          <w:sz w:val="32"/>
          <w:szCs w:val="32"/>
        </w:rPr>
      </w:pPr>
      <w:bookmarkStart w:id="0" w:name="_Toc335914386"/>
      <w:bookmarkStart w:id="1" w:name="_Toc303375185"/>
      <w:r>
        <w:rPr>
          <w:rFonts w:hint="eastAsia" w:ascii="仿宋_GB2312" w:hAnsi="仿宋_GB2312" w:eastAsia="仿宋_GB2312" w:cs="仿宋_GB2312"/>
          <w:sz w:val="32"/>
          <w:szCs w:val="32"/>
        </w:rPr>
        <w:t>习近平总书记在党的十九大报告中指出：“办好继续教育，加快建设学习型社会，大力提高国民素质”。“十四五”时期是我校继续教育进一步深化改革和转型创新发展的重要时期，继续教育学院将以学校“十四五”发展规划为引领，以服务地方经济社会发展需要为出发点，结合自身发展实际，特制定继续教育“十四五”建设与发展规划。</w:t>
      </w:r>
    </w:p>
    <w:p>
      <w:pPr>
        <w:adjustRightInd w:val="0"/>
        <w:snapToGrid w:val="0"/>
        <w:spacing w:line="560" w:lineRule="exact"/>
        <w:ind w:firstLine="640" w:firstLineChars="200"/>
        <w:textAlignment w:val="center"/>
        <w:outlineLvl w:val="0"/>
        <w:rPr>
          <w:rFonts w:ascii="黑体" w:hAnsi="黑体" w:eastAsia="黑体" w:cs="黑体"/>
          <w:sz w:val="32"/>
          <w:szCs w:val="32"/>
        </w:rPr>
      </w:pPr>
      <w:r>
        <w:rPr>
          <w:rFonts w:hint="eastAsia" w:ascii="黑体" w:hAnsi="黑体" w:eastAsia="黑体" w:cs="黑体"/>
          <w:sz w:val="32"/>
          <w:szCs w:val="32"/>
        </w:rPr>
        <w:t>一、建设发展现状</w:t>
      </w:r>
    </w:p>
    <w:bookmarkEnd w:id="0"/>
    <w:bookmarkEnd w:id="1"/>
    <w:p>
      <w:pPr>
        <w:adjustRightInd w:val="0"/>
        <w:snapToGrid w:val="0"/>
        <w:spacing w:line="560" w:lineRule="exact"/>
        <w:ind w:firstLine="643" w:firstLineChars="200"/>
        <w:textAlignment w:val="center"/>
        <w:outlineLvl w:val="1"/>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（一）“十三五”主要成绩</w:t>
      </w:r>
    </w:p>
    <w:p>
      <w:pPr>
        <w:adjustRightInd w:val="0"/>
        <w:snapToGrid w:val="0"/>
        <w:spacing w:line="576" w:lineRule="exact"/>
        <w:ind w:firstLine="643" w:firstLineChars="200"/>
        <w:textAlignment w:val="center"/>
        <w:rPr>
          <w:rFonts w:ascii="仿宋_GB2312" w:hAnsi="仿宋_GB2312" w:eastAsia="仿宋_GB2312" w:cs="仿宋_GB2312"/>
          <w:sz w:val="32"/>
          <w:szCs w:val="32"/>
        </w:rPr>
      </w:pPr>
      <w:r>
        <w:rPr>
          <w:rFonts w:ascii="仿宋_GB2312" w:hAnsi="仿宋_GB2312" w:eastAsia="仿宋_GB2312" w:cs="仿宋_GB2312"/>
          <w:b/>
          <w:bCs/>
          <w:sz w:val="32"/>
          <w:szCs w:val="32"/>
        </w:rPr>
        <w:t>1.</w:t>
      </w:r>
      <w:r>
        <w:rPr>
          <w:rFonts w:hint="eastAsia" w:ascii="仿宋_GB2312" w:hAnsi="仿宋_GB2312" w:eastAsia="仿宋_GB2312" w:cs="仿宋_GB2312"/>
          <w:b/>
          <w:bCs/>
          <w:sz w:val="32"/>
          <w:szCs w:val="32"/>
        </w:rPr>
        <w:t>成人函授教育规模稳步增长。</w:t>
      </w:r>
      <w:r>
        <w:rPr>
          <w:rFonts w:hint="eastAsia" w:ascii="仿宋_GB2312" w:hAnsi="仿宋_GB2312" w:eastAsia="仿宋_GB2312" w:cs="仿宋_GB2312"/>
          <w:sz w:val="32"/>
          <w:szCs w:val="32"/>
        </w:rPr>
        <w:t>成人函授教育在全国报考成人教育人数持续下降的情况下，我校成人函授招生人数逐年递增，从</w:t>
      </w:r>
      <w:r>
        <w:rPr>
          <w:rFonts w:ascii="仿宋_GB2312" w:hAnsi="仿宋_GB2312" w:eastAsia="仿宋_GB2312" w:cs="仿宋_GB2312"/>
          <w:sz w:val="32"/>
          <w:szCs w:val="32"/>
        </w:rPr>
        <w:t>2016</w:t>
      </w:r>
      <w:r>
        <w:rPr>
          <w:rFonts w:hint="eastAsia" w:ascii="仿宋_GB2312" w:hAnsi="仿宋_GB2312" w:eastAsia="仿宋_GB2312" w:cs="仿宋_GB2312"/>
          <w:sz w:val="32"/>
          <w:szCs w:val="32"/>
        </w:rPr>
        <w:t>年在籍成教学生</w:t>
      </w:r>
      <w:r>
        <w:rPr>
          <w:rFonts w:ascii="仿宋_GB2312" w:hAnsi="仿宋_GB2312" w:eastAsia="仿宋_GB2312" w:cs="仿宋_GB2312"/>
          <w:sz w:val="32"/>
          <w:szCs w:val="32"/>
        </w:rPr>
        <w:t>2651</w:t>
      </w:r>
      <w:r>
        <w:rPr>
          <w:rFonts w:hint="eastAsia" w:ascii="仿宋_GB2312" w:hAnsi="仿宋_GB2312" w:eastAsia="仿宋_GB2312" w:cs="仿宋_GB2312"/>
          <w:sz w:val="32"/>
          <w:szCs w:val="32"/>
        </w:rPr>
        <w:t>人增长至现有在籍学生</w:t>
      </w:r>
      <w:r>
        <w:rPr>
          <w:rFonts w:ascii="仿宋_GB2312" w:hAnsi="仿宋_GB2312" w:eastAsia="仿宋_GB2312" w:cs="仿宋_GB2312"/>
          <w:sz w:val="32"/>
          <w:szCs w:val="32"/>
        </w:rPr>
        <w:t>3523</w:t>
      </w:r>
      <w:r>
        <w:rPr>
          <w:rFonts w:hint="eastAsia" w:ascii="仿宋_GB2312" w:hAnsi="仿宋_GB2312" w:eastAsia="仿宋_GB2312" w:cs="仿宋_GB2312"/>
          <w:sz w:val="32"/>
          <w:szCs w:val="32"/>
        </w:rPr>
        <w:t>人，增长率为</w:t>
      </w:r>
      <w:r>
        <w:rPr>
          <w:rFonts w:ascii="仿宋_GB2312" w:hAnsi="仿宋_GB2312" w:eastAsia="仿宋_GB2312" w:cs="仿宋_GB2312"/>
          <w:sz w:val="32"/>
          <w:szCs w:val="32"/>
        </w:rPr>
        <w:t>32.9%</w:t>
      </w:r>
      <w:r>
        <w:rPr>
          <w:rFonts w:hint="eastAsia" w:ascii="仿宋_GB2312" w:hAnsi="仿宋_GB2312" w:eastAsia="仿宋_GB2312" w:cs="仿宋_GB2312"/>
          <w:sz w:val="32"/>
          <w:szCs w:val="32"/>
        </w:rPr>
        <w:t>。“十三五”期间累计为社会输送专、本科毕业生</w:t>
      </w:r>
      <w:r>
        <w:rPr>
          <w:rFonts w:ascii="仿宋_GB2312" w:hAnsi="仿宋_GB2312" w:eastAsia="仿宋_GB2312" w:cs="仿宋_GB2312"/>
          <w:sz w:val="32"/>
          <w:szCs w:val="32"/>
        </w:rPr>
        <w:t>7000</w:t>
      </w:r>
      <w:r>
        <w:rPr>
          <w:rFonts w:hint="eastAsia" w:ascii="仿宋_GB2312" w:hAnsi="仿宋_GB2312" w:eastAsia="仿宋_GB2312" w:cs="仿宋_GB2312"/>
          <w:sz w:val="32"/>
          <w:szCs w:val="32"/>
        </w:rPr>
        <w:t>余名。</w:t>
      </w:r>
    </w:p>
    <w:p>
      <w:pPr>
        <w:adjustRightInd w:val="0"/>
        <w:snapToGrid w:val="0"/>
        <w:spacing w:line="576" w:lineRule="exact"/>
        <w:ind w:firstLine="643" w:firstLineChars="200"/>
        <w:textAlignment w:val="center"/>
        <w:rPr>
          <w:rFonts w:ascii="仿宋_GB2312" w:hAnsi="仿宋_GB2312" w:eastAsia="仿宋_GB2312" w:cs="仿宋_GB2312"/>
          <w:sz w:val="32"/>
          <w:szCs w:val="32"/>
        </w:rPr>
      </w:pPr>
      <w:r>
        <w:rPr>
          <w:rFonts w:ascii="仿宋_GB2312" w:hAnsi="仿宋_GB2312" w:eastAsia="仿宋_GB2312" w:cs="仿宋_GB2312"/>
          <w:b/>
          <w:bCs/>
          <w:sz w:val="32"/>
          <w:szCs w:val="32"/>
        </w:rPr>
        <w:t>2.</w:t>
      </w:r>
      <w:r>
        <w:rPr>
          <w:rFonts w:hint="eastAsia" w:ascii="仿宋_GB2312" w:hAnsi="仿宋_GB2312" w:eastAsia="仿宋_GB2312" w:cs="仿宋_GB2312"/>
          <w:b/>
          <w:bCs/>
          <w:sz w:val="32"/>
          <w:szCs w:val="32"/>
        </w:rPr>
        <w:t>非学历教育培训势头良好。</w:t>
      </w:r>
      <w:r>
        <w:rPr>
          <w:rFonts w:hint="eastAsia" w:ascii="仿宋_GB2312" w:hAnsi="仿宋_GB2312" w:eastAsia="仿宋_GB2312" w:cs="仿宋_GB2312"/>
          <w:sz w:val="32"/>
          <w:szCs w:val="32"/>
        </w:rPr>
        <w:t>“十三五”期间，我院特别成立了培训部，专门负责非学历教育的培训的规划、管理以及具体培训项目的实施工作。实现学校继续教育工作重心由学历教育向非学历教育培训转变。</w:t>
      </w: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年共承担各类继续教育培训项目</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期，培训各类干部</w:t>
      </w:r>
      <w:r>
        <w:rPr>
          <w:rFonts w:ascii="仿宋_GB2312" w:hAnsi="仿宋_GB2312" w:eastAsia="仿宋_GB2312" w:cs="仿宋_GB2312"/>
          <w:sz w:val="32"/>
          <w:szCs w:val="32"/>
        </w:rPr>
        <w:t>200</w:t>
      </w:r>
      <w:r>
        <w:rPr>
          <w:rFonts w:hint="eastAsia" w:ascii="仿宋_GB2312" w:hAnsi="仿宋_GB2312" w:eastAsia="仿宋_GB2312" w:cs="仿宋_GB2312"/>
          <w:sz w:val="32"/>
          <w:szCs w:val="32"/>
        </w:rPr>
        <w:t>人次。</w:t>
      </w:r>
    </w:p>
    <w:p>
      <w:pPr>
        <w:adjustRightInd w:val="0"/>
        <w:snapToGrid w:val="0"/>
        <w:spacing w:line="576" w:lineRule="exact"/>
        <w:ind w:firstLine="643" w:firstLineChars="200"/>
        <w:textAlignment w:val="center"/>
        <w:rPr>
          <w:rFonts w:ascii="仿宋_GB2312" w:hAnsi="仿宋_GB2312" w:eastAsia="仿宋_GB2312" w:cs="仿宋_GB2312"/>
          <w:sz w:val="32"/>
          <w:szCs w:val="32"/>
        </w:rPr>
      </w:pPr>
      <w:r>
        <w:rPr>
          <w:rFonts w:ascii="仿宋_GB2312" w:hAnsi="仿宋_GB2312" w:eastAsia="仿宋_GB2312" w:cs="仿宋_GB2312"/>
          <w:b/>
          <w:bCs/>
          <w:sz w:val="32"/>
          <w:szCs w:val="32"/>
        </w:rPr>
        <w:t>3.</w:t>
      </w:r>
      <w:r>
        <w:rPr>
          <w:rFonts w:hint="eastAsia" w:ascii="仿宋_GB2312" w:hAnsi="仿宋_GB2312" w:eastAsia="仿宋_GB2312" w:cs="仿宋_GB2312"/>
          <w:b/>
          <w:bCs/>
          <w:sz w:val="32"/>
          <w:szCs w:val="32"/>
        </w:rPr>
        <w:t>专业布局不断优化。</w:t>
      </w:r>
      <w:r>
        <w:rPr>
          <w:rFonts w:hint="eastAsia" w:ascii="仿宋_GB2312" w:hAnsi="仿宋_GB2312" w:eastAsia="仿宋_GB2312" w:cs="仿宋_GB2312"/>
          <w:sz w:val="32"/>
          <w:szCs w:val="32"/>
        </w:rPr>
        <w:t>为适应市场需求，我校充分利用全日制办学资源，不断优化专业布局。结合经济社会发展，新增了受广大考生欢迎的教育技术学和数据科学与大数据技术专业。目前，我校有成教专业</w:t>
      </w:r>
      <w:r>
        <w:rPr>
          <w:rFonts w:ascii="仿宋_GB2312" w:hAnsi="仿宋_GB2312" w:eastAsia="仿宋_GB2312" w:cs="仿宋_GB2312"/>
          <w:sz w:val="32"/>
          <w:szCs w:val="32"/>
        </w:rPr>
        <w:t>36</w:t>
      </w:r>
      <w:r>
        <w:rPr>
          <w:rFonts w:hint="eastAsia" w:ascii="仿宋_GB2312" w:hAnsi="仿宋_GB2312" w:eastAsia="仿宋_GB2312" w:cs="仿宋_GB2312"/>
          <w:sz w:val="32"/>
          <w:szCs w:val="32"/>
        </w:rPr>
        <w:t>个，含高升专专业</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个、高升本专业</w:t>
      </w:r>
      <w:r>
        <w:rPr>
          <w:rFonts w:ascii="仿宋_GB2312" w:hAnsi="仿宋_GB2312" w:eastAsia="仿宋_GB2312" w:cs="仿宋_GB2312"/>
          <w:sz w:val="32"/>
          <w:szCs w:val="32"/>
        </w:rPr>
        <w:t>10</w:t>
      </w:r>
      <w:r>
        <w:rPr>
          <w:rFonts w:hint="eastAsia" w:ascii="仿宋_GB2312" w:hAnsi="仿宋_GB2312" w:eastAsia="仿宋_GB2312" w:cs="仿宋_GB2312"/>
          <w:sz w:val="32"/>
          <w:szCs w:val="32"/>
        </w:rPr>
        <w:t>个，专升本专业</w:t>
      </w:r>
      <w:r>
        <w:rPr>
          <w:rFonts w:ascii="仿宋_GB2312" w:hAnsi="仿宋_GB2312" w:eastAsia="仿宋_GB2312" w:cs="仿宋_GB2312"/>
          <w:sz w:val="32"/>
          <w:szCs w:val="32"/>
        </w:rPr>
        <w:t>23</w:t>
      </w:r>
      <w:r>
        <w:rPr>
          <w:rFonts w:hint="eastAsia" w:ascii="仿宋_GB2312" w:hAnsi="仿宋_GB2312" w:eastAsia="仿宋_GB2312" w:cs="仿宋_GB2312"/>
          <w:sz w:val="32"/>
          <w:szCs w:val="32"/>
        </w:rPr>
        <w:t>个。</w:t>
      </w:r>
    </w:p>
    <w:p>
      <w:pPr>
        <w:adjustRightInd w:val="0"/>
        <w:snapToGrid w:val="0"/>
        <w:spacing w:line="560" w:lineRule="exact"/>
        <w:ind w:firstLine="643" w:firstLineChars="200"/>
        <w:textAlignment w:val="center"/>
        <w:outlineLvl w:val="1"/>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（二）存在的主要问题</w:t>
      </w:r>
    </w:p>
    <w:p>
      <w:pPr>
        <w:adjustRightInd w:val="0"/>
        <w:snapToGrid w:val="0"/>
        <w:spacing w:line="576" w:lineRule="exact"/>
        <w:ind w:firstLine="643" w:firstLineChars="200"/>
        <w:textAlignment w:val="center"/>
        <w:rPr>
          <w:rFonts w:ascii="仿宋_GB2312" w:hAnsi="仿宋_GB2312" w:eastAsia="仿宋_GB2312" w:cs="仿宋_GB2312"/>
          <w:sz w:val="32"/>
          <w:szCs w:val="32"/>
        </w:rPr>
      </w:pPr>
      <w:r>
        <w:rPr>
          <w:rFonts w:ascii="仿宋_GB2312" w:hAnsi="仿宋_GB2312" w:eastAsia="仿宋_GB2312" w:cs="仿宋_GB2312"/>
          <w:b/>
          <w:bCs/>
          <w:sz w:val="32"/>
          <w:szCs w:val="32"/>
        </w:rPr>
        <w:t>1.</w:t>
      </w:r>
      <w:r>
        <w:rPr>
          <w:rFonts w:hint="eastAsia" w:ascii="仿宋_GB2312" w:hAnsi="仿宋_GB2312" w:eastAsia="仿宋_GB2312" w:cs="仿宋_GB2312"/>
          <w:b/>
          <w:bCs/>
          <w:sz w:val="32"/>
          <w:szCs w:val="32"/>
        </w:rPr>
        <w:t>成人学历教育培养质量有待提高。</w:t>
      </w:r>
      <w:r>
        <w:rPr>
          <w:rFonts w:hint="eastAsia" w:ascii="仿宋_GB2312" w:hAnsi="仿宋_GB2312" w:eastAsia="仿宋_GB2312" w:cs="仿宋_GB2312"/>
          <w:sz w:val="32"/>
          <w:szCs w:val="32"/>
        </w:rPr>
        <w:t>按照上级要求，我校成人教育办学质量还有待提高，特别是课程体系、教学内容的针对性和实用性还不够强。</w:t>
      </w:r>
    </w:p>
    <w:p>
      <w:pPr>
        <w:adjustRightInd w:val="0"/>
        <w:snapToGrid w:val="0"/>
        <w:spacing w:line="576" w:lineRule="exact"/>
        <w:ind w:firstLine="643" w:firstLineChars="200"/>
        <w:textAlignment w:val="center"/>
        <w:rPr>
          <w:rFonts w:ascii="仿宋_GB2312" w:hAnsi="仿宋_GB2312" w:eastAsia="仿宋_GB2312" w:cs="仿宋_GB2312"/>
          <w:sz w:val="32"/>
          <w:szCs w:val="32"/>
        </w:rPr>
      </w:pPr>
      <w:r>
        <w:rPr>
          <w:rFonts w:ascii="仿宋_GB2312" w:hAnsi="仿宋_GB2312" w:eastAsia="仿宋_GB2312" w:cs="仿宋_GB2312"/>
          <w:b/>
          <w:bCs/>
          <w:sz w:val="32"/>
          <w:szCs w:val="32"/>
        </w:rPr>
        <w:t>2.</w:t>
      </w:r>
      <w:r>
        <w:rPr>
          <w:rFonts w:hint="eastAsia" w:ascii="仿宋_GB2312" w:hAnsi="仿宋_GB2312" w:eastAsia="仿宋_GB2312" w:cs="仿宋_GB2312"/>
          <w:b/>
          <w:bCs/>
          <w:sz w:val="32"/>
          <w:szCs w:val="32"/>
        </w:rPr>
        <w:t>学历教育办学方式单一。</w:t>
      </w:r>
      <w:r>
        <w:rPr>
          <w:rFonts w:hint="eastAsia" w:ascii="仿宋_GB2312" w:hAnsi="仿宋_GB2312" w:eastAsia="仿宋_GB2312" w:cs="仿宋_GB2312"/>
          <w:sz w:val="32"/>
          <w:szCs w:val="32"/>
        </w:rPr>
        <w:t>我校目前的仅开展了成人函授学历教育，相对于省内其他高校来说，办学方式单一，办学效益也不明显。</w:t>
      </w:r>
    </w:p>
    <w:p>
      <w:pPr>
        <w:adjustRightInd w:val="0"/>
        <w:snapToGrid w:val="0"/>
        <w:spacing w:line="576" w:lineRule="exact"/>
        <w:ind w:firstLine="643" w:firstLineChars="200"/>
        <w:textAlignment w:val="center"/>
        <w:rPr>
          <w:rFonts w:ascii="仿宋_GB2312" w:hAnsi="仿宋_GB2312" w:eastAsia="仿宋_GB2312" w:cs="仿宋_GB2312"/>
          <w:sz w:val="32"/>
          <w:szCs w:val="32"/>
        </w:rPr>
      </w:pPr>
      <w:r>
        <w:rPr>
          <w:rFonts w:ascii="仿宋_GB2312" w:hAnsi="仿宋_GB2312" w:eastAsia="仿宋_GB2312" w:cs="仿宋_GB2312"/>
          <w:b/>
          <w:bCs/>
          <w:sz w:val="32"/>
          <w:szCs w:val="32"/>
        </w:rPr>
        <w:t>3.</w:t>
      </w:r>
      <w:r>
        <w:rPr>
          <w:rFonts w:hint="eastAsia" w:ascii="仿宋_GB2312" w:hAnsi="仿宋_GB2312" w:eastAsia="仿宋_GB2312" w:cs="仿宋_GB2312"/>
          <w:b/>
          <w:bCs/>
          <w:sz w:val="32"/>
          <w:szCs w:val="32"/>
        </w:rPr>
        <w:t>非学历培训规模不大。</w:t>
      </w:r>
      <w:r>
        <w:rPr>
          <w:rFonts w:hint="eastAsia" w:ascii="仿宋_GB2312" w:hAnsi="仿宋_GB2312" w:eastAsia="仿宋_GB2312" w:cs="仿宋_GB2312"/>
          <w:sz w:val="32"/>
          <w:szCs w:val="32"/>
        </w:rPr>
        <w:t>近年来，我校非学历教育培训的总体规模还不大，辐射面有待进一步拓宽。培训形式相对单一，培训师资力量不强。</w:t>
      </w:r>
    </w:p>
    <w:p>
      <w:pPr>
        <w:adjustRightInd w:val="0"/>
        <w:snapToGrid w:val="0"/>
        <w:spacing w:line="576" w:lineRule="exact"/>
        <w:ind w:firstLine="643" w:firstLineChars="200"/>
        <w:textAlignment w:val="center"/>
        <w:rPr>
          <w:rFonts w:ascii="仿宋_GB2312" w:hAnsi="仿宋_GB2312" w:eastAsia="仿宋_GB2312" w:cs="仿宋_GB2312"/>
          <w:sz w:val="32"/>
          <w:szCs w:val="32"/>
        </w:rPr>
      </w:pPr>
      <w:r>
        <w:rPr>
          <w:rFonts w:ascii="仿宋_GB2312" w:hAnsi="仿宋_GB2312" w:eastAsia="仿宋_GB2312" w:cs="仿宋_GB2312"/>
          <w:b/>
          <w:bCs/>
          <w:sz w:val="32"/>
          <w:szCs w:val="32"/>
        </w:rPr>
        <w:t>4.</w:t>
      </w:r>
      <w:r>
        <w:rPr>
          <w:rFonts w:hint="eastAsia" w:ascii="仿宋_GB2312" w:hAnsi="仿宋_GB2312" w:eastAsia="仿宋_GB2312" w:cs="仿宋_GB2312"/>
          <w:b/>
          <w:bCs/>
          <w:sz w:val="32"/>
          <w:szCs w:val="32"/>
        </w:rPr>
        <w:t>信息化教学相对滞后。</w:t>
      </w:r>
      <w:r>
        <w:rPr>
          <w:rFonts w:hint="eastAsia" w:ascii="仿宋_GB2312" w:hAnsi="仿宋_GB2312" w:eastAsia="仿宋_GB2312" w:cs="仿宋_GB2312"/>
          <w:sz w:val="32"/>
          <w:szCs w:val="32"/>
        </w:rPr>
        <w:t>与省内高校相比，我校继续教育信息化教学相对滞后，成人教育的教学方法和教学手段改革力度有待加强。</w:t>
      </w:r>
    </w:p>
    <w:p>
      <w:pPr>
        <w:adjustRightInd w:val="0"/>
        <w:snapToGrid w:val="0"/>
        <w:spacing w:line="560" w:lineRule="exact"/>
        <w:ind w:firstLine="643" w:firstLineChars="200"/>
        <w:textAlignment w:val="center"/>
        <w:outlineLvl w:val="1"/>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（三）机遇与挑战</w:t>
      </w:r>
    </w:p>
    <w:p>
      <w:pPr>
        <w:adjustRightInd w:val="0"/>
        <w:snapToGrid w:val="0"/>
        <w:spacing w:line="576" w:lineRule="exact"/>
        <w:ind w:firstLine="643" w:firstLineChars="200"/>
        <w:textAlignment w:val="center"/>
        <w:rPr>
          <w:rFonts w:ascii="仿宋_GB2312" w:hAnsi="仿宋_GB2312" w:eastAsia="仿宋_GB2312" w:cs="仿宋_GB2312"/>
          <w:b/>
          <w:bCs/>
          <w:sz w:val="32"/>
          <w:szCs w:val="32"/>
        </w:rPr>
      </w:pPr>
      <w:r>
        <w:rPr>
          <w:rFonts w:ascii="仿宋_GB2312" w:hAnsi="仿宋_GB2312" w:eastAsia="仿宋_GB2312" w:cs="仿宋_GB2312"/>
          <w:b/>
          <w:bCs/>
          <w:sz w:val="32"/>
          <w:szCs w:val="32"/>
        </w:rPr>
        <w:t>1.</w:t>
      </w:r>
      <w:r>
        <w:rPr>
          <w:rFonts w:hint="eastAsia" w:ascii="仿宋_GB2312" w:hAnsi="仿宋_GB2312" w:eastAsia="仿宋_GB2312" w:cs="仿宋_GB2312"/>
          <w:b/>
          <w:bCs/>
          <w:sz w:val="32"/>
          <w:szCs w:val="32"/>
        </w:rPr>
        <w:t>面临的挑战</w:t>
      </w:r>
    </w:p>
    <w:p>
      <w:pPr>
        <w:adjustRightInd w:val="0"/>
        <w:snapToGrid w:val="0"/>
        <w:spacing w:line="576" w:lineRule="exact"/>
        <w:ind w:firstLine="640" w:firstLineChars="200"/>
        <w:textAlignment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学历教育面临重大改革。为解决高等学历教育存在的突出问题，推动新时代高等学历教育高质量发展，教育部印发了《教育部关于新时代高等学历继续教育改革实施意见（征求意见稿）》，《意见》对成人学历教育的办学类别、高校的办学规模、校外教学中心的设置、人才培养质量、教学过程管理等方面提出了更为具体明确的要求，高等学历教育面临重大的改革。新的改革文件出台后，对高等学历教育必然提出更高的要求，进行更深层次的调整与整合，高等学历教育将面临更为激烈的竞争。</w:t>
      </w:r>
    </w:p>
    <w:p>
      <w:pPr>
        <w:adjustRightInd w:val="0"/>
        <w:snapToGrid w:val="0"/>
        <w:spacing w:line="576" w:lineRule="exact"/>
        <w:ind w:firstLine="640" w:firstLineChars="200"/>
        <w:textAlignment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非学历教育市场竞争越来越大。由于学历教育投入较大，办学风险较高，各个高校着力发展非学历教育，尤其是利用办学特色以及优势专业，开发非学历培训市场，我校非学历教育的规模本身不大，没有形成自由的培训项目品牌，加之没有地域优势，在激烈的市场竞争中面临的压力巨大。</w:t>
      </w:r>
    </w:p>
    <w:p>
      <w:pPr>
        <w:adjustRightInd w:val="0"/>
        <w:snapToGrid w:val="0"/>
        <w:spacing w:line="576" w:lineRule="exact"/>
        <w:ind w:firstLine="643" w:firstLineChars="200"/>
        <w:textAlignment w:val="center"/>
        <w:rPr>
          <w:rFonts w:ascii="仿宋_GB2312" w:hAnsi="仿宋_GB2312" w:eastAsia="仿宋_GB2312" w:cs="仿宋_GB2312"/>
          <w:b/>
          <w:bCs/>
          <w:sz w:val="32"/>
          <w:szCs w:val="32"/>
        </w:rPr>
      </w:pPr>
      <w:r>
        <w:rPr>
          <w:rFonts w:ascii="仿宋_GB2312" w:hAnsi="仿宋_GB2312" w:eastAsia="仿宋_GB2312" w:cs="仿宋_GB2312"/>
          <w:b/>
          <w:bCs/>
          <w:sz w:val="32"/>
          <w:szCs w:val="32"/>
        </w:rPr>
        <w:t>2.</w:t>
      </w:r>
      <w:r>
        <w:rPr>
          <w:rFonts w:hint="eastAsia" w:ascii="仿宋_GB2312" w:hAnsi="仿宋_GB2312" w:eastAsia="仿宋_GB2312" w:cs="仿宋_GB2312"/>
          <w:b/>
          <w:bCs/>
          <w:sz w:val="32"/>
          <w:szCs w:val="32"/>
        </w:rPr>
        <w:t>发展的机遇</w:t>
      </w:r>
    </w:p>
    <w:p>
      <w:pPr>
        <w:adjustRightInd w:val="0"/>
        <w:snapToGrid w:val="0"/>
        <w:spacing w:line="576" w:lineRule="exact"/>
        <w:ind w:firstLine="640" w:firstLineChars="200"/>
        <w:textAlignment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新的高校学历教育模式可以成为我校继续教育新的起跑点。学历教育是把双刃剑，即提高了高校学历教育的要求，同时也为我校在新的学历教育模式中与兄弟高校在同一起跑线上起跑，为我校重新定位学历教育、发展学历教育创造的机会，为实现弯道超车提供了条件。</w:t>
      </w:r>
    </w:p>
    <w:p>
      <w:pPr>
        <w:adjustRightInd w:val="0"/>
        <w:snapToGrid w:val="0"/>
        <w:spacing w:line="576" w:lineRule="exact"/>
        <w:ind w:firstLine="640" w:firstLineChars="200"/>
        <w:textAlignment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）职业教育迎来史无前例的发展节点。</w:t>
      </w:r>
      <w:r>
        <w:rPr>
          <w:rFonts w:ascii="仿宋_GB2312" w:hAnsi="仿宋_GB2312" w:eastAsia="仿宋_GB2312" w:cs="仿宋_GB2312"/>
          <w:sz w:val="32"/>
          <w:szCs w:val="32"/>
        </w:rPr>
        <w:t>2019</w:t>
      </w:r>
      <w:r>
        <w:rPr>
          <w:rFonts w:hint="eastAsia" w:ascii="仿宋_GB2312" w:hAnsi="仿宋_GB2312" w:eastAsia="仿宋_GB2312" w:cs="仿宋_GB2312"/>
          <w:sz w:val="32"/>
          <w:szCs w:val="32"/>
        </w:rPr>
        <w:t>年出台了《国家职业教育改革实施方案》，提出了职业教育与普通教育是两种不同的教育类型，具有同等重要的地位；</w:t>
      </w:r>
      <w:r>
        <w:rPr>
          <w:rFonts w:ascii="仿宋_GB2312" w:hAnsi="仿宋_GB2312" w:eastAsia="仿宋_GB2312" w:cs="仿宋_GB2312"/>
          <w:sz w:val="32"/>
          <w:szCs w:val="32"/>
        </w:rPr>
        <w:t>2019</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年国家《政府工作报告》指出要拿出专项资金用于职工技能提升和转岗转业培训；</w:t>
      </w: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年《职业教育提质培优行动计划（</w:t>
      </w:r>
      <w:r>
        <w:rPr>
          <w:rFonts w:ascii="仿宋_GB2312" w:hAnsi="仿宋_GB2312" w:eastAsia="仿宋_GB2312" w:cs="仿宋_GB2312"/>
          <w:sz w:val="32"/>
          <w:szCs w:val="32"/>
        </w:rPr>
        <w:t>2020-2023</w:t>
      </w:r>
      <w:r>
        <w:rPr>
          <w:rFonts w:hint="eastAsia" w:ascii="仿宋_GB2312" w:hAnsi="仿宋_GB2312" w:eastAsia="仿宋_GB2312" w:cs="仿宋_GB2312"/>
          <w:sz w:val="32"/>
          <w:szCs w:val="32"/>
        </w:rPr>
        <w:t>年）》中指出，完善服务全民终身学历的制度体系，推动学历教育与职业培训并举并重；</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全国职业教育大会上，习近平总书记提出了“加快构建现代职业教育体系，培养更多高素质技术技能人才”的要求。上述一列重要讲话精神以及文件政策出台，为我校非学历教育提供了有利的发展机会。未来几年，在国家全力推进教师教育、职业教育发展、乡村振兴战略以及我省大力实施“三高四新”战略背景下，继续教育将迎来新的发展契机。</w:t>
      </w:r>
    </w:p>
    <w:p>
      <w:pPr>
        <w:adjustRightInd w:val="0"/>
        <w:snapToGrid w:val="0"/>
        <w:spacing w:line="576" w:lineRule="exact"/>
        <w:ind w:firstLine="640" w:firstLineChars="200"/>
        <w:textAlignment w:val="center"/>
        <w:outlineLvl w:val="0"/>
        <w:rPr>
          <w:rFonts w:ascii="黑体" w:hAnsi="黑体" w:eastAsia="黑体" w:cs="黑体"/>
          <w:sz w:val="32"/>
          <w:szCs w:val="32"/>
        </w:rPr>
      </w:pPr>
      <w:r>
        <w:rPr>
          <w:rFonts w:hint="eastAsia" w:ascii="黑体" w:hAnsi="黑体" w:eastAsia="黑体" w:cs="黑体"/>
          <w:sz w:val="32"/>
          <w:szCs w:val="32"/>
        </w:rPr>
        <w:t>二、指导思想和发展目标</w:t>
      </w:r>
    </w:p>
    <w:p>
      <w:pPr>
        <w:adjustRightInd w:val="0"/>
        <w:snapToGrid w:val="0"/>
        <w:spacing w:line="560" w:lineRule="exact"/>
        <w:ind w:firstLine="643" w:firstLineChars="200"/>
        <w:textAlignment w:val="center"/>
        <w:outlineLvl w:val="1"/>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（一）指导思想</w:t>
      </w:r>
    </w:p>
    <w:p>
      <w:pPr>
        <w:adjustRightInd w:val="0"/>
        <w:snapToGrid w:val="0"/>
        <w:spacing w:line="576" w:lineRule="exact"/>
        <w:ind w:firstLine="640" w:firstLineChars="200"/>
        <w:textAlignment w:val="center"/>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以习近平新时代中国特色社会主义思想为指导，紧扣学校“地方性、应用型、有特色”办学定位，坚持“规范办学、强化管理、确保质量、提升效益”的办学方针。坚持立德树人，坚持社会主义办学方向，加强思想政治工作，加强社会主义核心价值观教育，通过高等学历教育提升以及非学历教育培训等多种渠道，培养为地方经济建设和社会发展服务的各类人才，为学校发展筹集更多资源、增添办学活力、提升办学声誉。</w:t>
      </w:r>
    </w:p>
    <w:p>
      <w:pPr>
        <w:adjustRightInd w:val="0"/>
        <w:snapToGrid w:val="0"/>
        <w:spacing w:line="560" w:lineRule="exact"/>
        <w:ind w:firstLine="643" w:firstLineChars="200"/>
        <w:textAlignment w:val="center"/>
        <w:outlineLvl w:val="1"/>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（二）发展目标</w:t>
      </w:r>
    </w:p>
    <w:p>
      <w:pPr>
        <w:adjustRightInd w:val="0"/>
        <w:snapToGrid w:val="0"/>
        <w:spacing w:line="576" w:lineRule="exact"/>
        <w:ind w:firstLine="643" w:firstLineChars="200"/>
        <w:textAlignment w:val="center"/>
        <w:rPr>
          <w:rFonts w:ascii="仿宋_GB2312" w:hAnsi="仿宋_GB2312" w:eastAsia="仿宋_GB2312" w:cs="仿宋_GB2312"/>
          <w:sz w:val="32"/>
          <w:szCs w:val="32"/>
        </w:rPr>
      </w:pPr>
      <w:r>
        <w:rPr>
          <w:rFonts w:ascii="仿宋_GB2312" w:hAnsi="仿宋_GB2312" w:eastAsia="仿宋_GB2312" w:cs="仿宋_GB2312"/>
          <w:b/>
          <w:bCs/>
          <w:sz w:val="32"/>
          <w:szCs w:val="32"/>
        </w:rPr>
        <w:t>1.</w:t>
      </w:r>
      <w:r>
        <w:rPr>
          <w:rFonts w:hint="eastAsia" w:ascii="仿宋_GB2312" w:hAnsi="仿宋_GB2312" w:eastAsia="仿宋_GB2312" w:cs="仿宋_GB2312"/>
          <w:b/>
          <w:bCs/>
          <w:sz w:val="32"/>
          <w:szCs w:val="32"/>
        </w:rPr>
        <w:t>拓宽学历教育渠道，提高学历教育质量以及效益。</w:t>
      </w:r>
      <w:r>
        <w:rPr>
          <w:rFonts w:hint="eastAsia" w:ascii="仿宋_GB2312" w:hAnsi="仿宋_GB2312" w:eastAsia="仿宋_GB2312" w:cs="仿宋_GB2312"/>
          <w:sz w:val="32"/>
          <w:szCs w:val="32"/>
        </w:rPr>
        <w:t>推进我校高等学历教育改革转型，按照上级主管部门的改革要求，不断丰富高等学历教育形式，完善继续教育保障体系，提高人才培养质量，实现办学质量和办学效益的同步提升。</w:t>
      </w:r>
    </w:p>
    <w:p>
      <w:pPr>
        <w:adjustRightInd w:val="0"/>
        <w:snapToGrid w:val="0"/>
        <w:spacing w:line="576" w:lineRule="exact"/>
        <w:ind w:firstLine="643" w:firstLineChars="200"/>
        <w:textAlignment w:val="center"/>
        <w:rPr>
          <w:rFonts w:ascii="仿宋_GB2312" w:hAnsi="仿宋_GB2312" w:eastAsia="仿宋_GB2312" w:cs="仿宋_GB2312"/>
          <w:sz w:val="32"/>
          <w:szCs w:val="32"/>
        </w:rPr>
      </w:pPr>
      <w:r>
        <w:rPr>
          <w:rFonts w:ascii="仿宋_GB2312" w:hAnsi="仿宋_GB2312" w:eastAsia="仿宋_GB2312" w:cs="仿宋_GB2312"/>
          <w:b/>
          <w:bCs/>
          <w:sz w:val="32"/>
          <w:szCs w:val="32"/>
        </w:rPr>
        <w:t>2.</w:t>
      </w:r>
      <w:r>
        <w:rPr>
          <w:rFonts w:hint="eastAsia" w:ascii="仿宋_GB2312" w:hAnsi="仿宋_GB2312" w:eastAsia="仿宋_GB2312" w:cs="仿宋_GB2312"/>
          <w:b/>
          <w:bCs/>
          <w:sz w:val="32"/>
          <w:szCs w:val="32"/>
        </w:rPr>
        <w:t>大力发展职业教育与非学历教育培训。</w:t>
      </w:r>
      <w:r>
        <w:rPr>
          <w:rFonts w:hint="eastAsia" w:ascii="仿宋_GB2312" w:hAnsi="仿宋_GB2312" w:eastAsia="仿宋_GB2312" w:cs="仿宋_GB2312"/>
          <w:sz w:val="32"/>
          <w:szCs w:val="32"/>
        </w:rPr>
        <w:t>适应湖南以及永州经济社会转型和产业结构调整的需要，加强面向从业人员的职业教育与非学历教育培训，丰富职业教育与培训内涵，加大农村从业人员培训和农村转移劳动力培训，提升农村劳动者素质，培养农村实用人才，不断提升职业教育与培训的覆盖面以及培训人次。</w:t>
      </w:r>
    </w:p>
    <w:p>
      <w:pPr>
        <w:adjustRightInd w:val="0"/>
        <w:snapToGrid w:val="0"/>
        <w:spacing w:line="576" w:lineRule="exact"/>
        <w:ind w:firstLine="643" w:firstLineChars="200"/>
        <w:textAlignment w:val="center"/>
        <w:rPr>
          <w:rFonts w:ascii="仿宋_GB2312" w:hAnsi="仿宋_GB2312" w:eastAsia="仿宋_GB2312" w:cs="仿宋_GB2312"/>
          <w:sz w:val="32"/>
          <w:szCs w:val="32"/>
        </w:rPr>
      </w:pPr>
      <w:r>
        <w:rPr>
          <w:rFonts w:ascii="仿宋_GB2312" w:hAnsi="仿宋_GB2312" w:eastAsia="仿宋_GB2312" w:cs="仿宋_GB2312"/>
          <w:b/>
          <w:bCs/>
          <w:sz w:val="32"/>
          <w:szCs w:val="32"/>
        </w:rPr>
        <w:t>3.</w:t>
      </w:r>
      <w:r>
        <w:rPr>
          <w:rFonts w:hint="eastAsia" w:ascii="仿宋_GB2312" w:hAnsi="仿宋_GB2312" w:eastAsia="仿宋_GB2312" w:cs="仿宋_GB2312"/>
          <w:b/>
          <w:bCs/>
          <w:sz w:val="32"/>
          <w:szCs w:val="32"/>
        </w:rPr>
        <w:t>充分利用现代信息技术，推动继续教育资源的开放共享，积极推行线上线下相结合的继续教育模式。</w:t>
      </w:r>
      <w:r>
        <w:rPr>
          <w:rFonts w:hint="eastAsia" w:ascii="仿宋_GB2312" w:hAnsi="仿宋_GB2312" w:eastAsia="仿宋_GB2312" w:cs="仿宋_GB2312"/>
          <w:sz w:val="32"/>
          <w:szCs w:val="32"/>
        </w:rPr>
        <w:t>打造适应新时代高等学历教育的教学平台，创建符合企业行业需求的线上职业教育以及非学历培训教育平台，为当地政府、学校、行业、企业、社会团体等构建学习型线上学习平台，积极推行线上线下相结合的继续教育模式。</w:t>
      </w:r>
    </w:p>
    <w:p>
      <w:pPr>
        <w:adjustRightInd w:val="0"/>
        <w:snapToGrid w:val="0"/>
        <w:spacing w:line="576" w:lineRule="exact"/>
        <w:ind w:firstLine="640" w:firstLineChars="200"/>
        <w:textAlignment w:val="center"/>
        <w:outlineLvl w:val="0"/>
        <w:rPr>
          <w:rFonts w:ascii="黑体" w:hAnsi="黑体" w:eastAsia="黑体" w:cs="黑体"/>
          <w:sz w:val="32"/>
          <w:szCs w:val="32"/>
        </w:rPr>
      </w:pPr>
      <w:r>
        <w:rPr>
          <w:rFonts w:hint="eastAsia" w:ascii="黑体" w:hAnsi="黑体" w:eastAsia="黑体" w:cs="黑体"/>
          <w:sz w:val="32"/>
          <w:szCs w:val="32"/>
        </w:rPr>
        <w:t>三、主要任务以及举措</w:t>
      </w:r>
    </w:p>
    <w:p>
      <w:pPr>
        <w:adjustRightInd w:val="0"/>
        <w:snapToGrid w:val="0"/>
        <w:spacing w:line="560" w:lineRule="exact"/>
        <w:ind w:firstLine="643" w:firstLineChars="200"/>
        <w:textAlignment w:val="center"/>
        <w:outlineLvl w:val="1"/>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（一）学历教育</w:t>
      </w:r>
    </w:p>
    <w:p>
      <w:pPr>
        <w:adjustRightInd w:val="0"/>
        <w:snapToGrid w:val="0"/>
        <w:spacing w:line="560" w:lineRule="exact"/>
        <w:ind w:firstLine="640" w:firstLineChars="200"/>
        <w:textAlignment w:val="center"/>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学历教育坚持“规模、质量、效益、声誉”协调统一发展，非学历教育围绕“创机制、求突破、增效益、建品牌”不断发力，认真剖析成人教育工作中的难点和短板，转变思维、突出重点，以规范办学、依法办学为原则，稳定发展学历教育。</w:t>
      </w:r>
    </w:p>
    <w:p>
      <w:pPr>
        <w:adjustRightInd w:val="0"/>
        <w:snapToGrid w:val="0"/>
        <w:spacing w:line="576" w:lineRule="exact"/>
        <w:ind w:firstLine="643" w:firstLineChars="200"/>
        <w:textAlignment w:val="center"/>
        <w:rPr>
          <w:rFonts w:ascii="仿宋_GB2312" w:hAnsi="仿宋_GB2312" w:eastAsia="仿宋_GB2312" w:cs="仿宋_GB2312"/>
          <w:sz w:val="32"/>
          <w:szCs w:val="32"/>
        </w:rPr>
      </w:pPr>
      <w:r>
        <w:rPr>
          <w:rFonts w:ascii="仿宋_GB2312" w:hAnsi="仿宋_GB2312" w:eastAsia="仿宋_GB2312" w:cs="仿宋_GB2312"/>
          <w:b/>
          <w:bCs/>
          <w:sz w:val="32"/>
          <w:szCs w:val="32"/>
        </w:rPr>
        <w:t>1.</w:t>
      </w:r>
      <w:r>
        <w:rPr>
          <w:rFonts w:hint="eastAsia" w:ascii="仿宋_GB2312" w:hAnsi="仿宋_GB2312" w:eastAsia="仿宋_GB2312" w:cs="仿宋_GB2312"/>
          <w:b/>
          <w:bCs/>
          <w:sz w:val="32"/>
          <w:szCs w:val="32"/>
        </w:rPr>
        <w:t>优化专业结构和站点布局，逐步扩大学历教育规模。</w:t>
      </w:r>
      <w:r>
        <w:rPr>
          <w:rFonts w:hint="eastAsia" w:ascii="仿宋_GB2312" w:hAnsi="仿宋_GB2312" w:eastAsia="仿宋_GB2312" w:cs="仿宋_GB2312"/>
          <w:sz w:val="32"/>
          <w:szCs w:val="32"/>
        </w:rPr>
        <w:t>在依法依规办学的基础上，充分利用学校的优质办学资源，结合地方社会经济发展的需要，进一步优化专业结构布局，及时调整招生专业。进一步优化校外教学中心的布局，在省内设置校外教学中心</w:t>
      </w:r>
      <w:r>
        <w:rPr>
          <w:rFonts w:ascii="仿宋_GB2312" w:hAnsi="仿宋_GB2312" w:eastAsia="仿宋_GB2312" w:cs="仿宋_GB2312"/>
          <w:sz w:val="32"/>
          <w:szCs w:val="32"/>
        </w:rPr>
        <w:t>10-15</w:t>
      </w:r>
      <w:r>
        <w:rPr>
          <w:rFonts w:hint="eastAsia" w:ascii="仿宋_GB2312" w:hAnsi="仿宋_GB2312" w:eastAsia="仿宋_GB2312" w:cs="仿宋_GB2312"/>
          <w:sz w:val="32"/>
          <w:szCs w:val="32"/>
        </w:rPr>
        <w:t>个，在省外校外教学中心</w:t>
      </w:r>
      <w:r>
        <w:rPr>
          <w:rFonts w:ascii="仿宋_GB2312" w:hAnsi="仿宋_GB2312" w:eastAsia="仿宋_GB2312" w:cs="仿宋_GB2312"/>
          <w:sz w:val="32"/>
          <w:szCs w:val="32"/>
        </w:rPr>
        <w:t>2-5</w:t>
      </w:r>
      <w:r>
        <w:rPr>
          <w:rFonts w:hint="eastAsia" w:ascii="仿宋_GB2312" w:hAnsi="仿宋_GB2312" w:eastAsia="仿宋_GB2312" w:cs="仿宋_GB2312"/>
          <w:sz w:val="32"/>
          <w:szCs w:val="32"/>
        </w:rPr>
        <w:t>个。招生规模在“十三五”年期间</w:t>
      </w:r>
      <w:r>
        <w:rPr>
          <w:rFonts w:ascii="仿宋_GB2312" w:hAnsi="仿宋_GB2312" w:eastAsia="仿宋_GB2312" w:cs="仿宋_GB2312"/>
          <w:sz w:val="32"/>
          <w:szCs w:val="32"/>
        </w:rPr>
        <w:t>1500</w:t>
      </w:r>
      <w:r>
        <w:rPr>
          <w:rFonts w:hint="eastAsia" w:ascii="仿宋_GB2312" w:hAnsi="仿宋_GB2312" w:eastAsia="仿宋_GB2312" w:cs="仿宋_GB2312"/>
          <w:sz w:val="32"/>
          <w:szCs w:val="32"/>
        </w:rPr>
        <w:t>人</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年基础上增加到</w:t>
      </w:r>
      <w:r>
        <w:rPr>
          <w:rFonts w:ascii="仿宋_GB2312" w:hAnsi="仿宋_GB2312" w:eastAsia="仿宋_GB2312" w:cs="仿宋_GB2312"/>
          <w:sz w:val="32"/>
          <w:szCs w:val="32"/>
        </w:rPr>
        <w:t>4000</w:t>
      </w:r>
      <w:r>
        <w:rPr>
          <w:rFonts w:hint="eastAsia" w:ascii="仿宋_GB2312" w:hAnsi="仿宋_GB2312" w:eastAsia="仿宋_GB2312" w:cs="仿宋_GB2312"/>
          <w:sz w:val="32"/>
          <w:szCs w:val="32"/>
        </w:rPr>
        <w:t>人</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年，到</w:t>
      </w:r>
      <w:r>
        <w:rPr>
          <w:rFonts w:ascii="仿宋_GB2312" w:hAnsi="仿宋_GB2312" w:eastAsia="仿宋_GB2312" w:cs="仿宋_GB2312"/>
          <w:sz w:val="32"/>
          <w:szCs w:val="32"/>
        </w:rPr>
        <w:t>2025</w:t>
      </w:r>
      <w:r>
        <w:rPr>
          <w:rFonts w:hint="eastAsia" w:ascii="仿宋_GB2312" w:hAnsi="仿宋_GB2312" w:eastAsia="仿宋_GB2312" w:cs="仿宋_GB2312"/>
          <w:sz w:val="32"/>
          <w:szCs w:val="32"/>
        </w:rPr>
        <w:t>年，高等学历教育在籍人数突破</w:t>
      </w:r>
      <w:r>
        <w:rPr>
          <w:rFonts w:ascii="仿宋_GB2312" w:hAnsi="仿宋_GB2312" w:eastAsia="仿宋_GB2312" w:cs="仿宋_GB2312"/>
          <w:sz w:val="32"/>
          <w:szCs w:val="32"/>
        </w:rPr>
        <w:t>15000</w:t>
      </w:r>
      <w:r>
        <w:rPr>
          <w:rFonts w:hint="eastAsia" w:ascii="仿宋_GB2312" w:hAnsi="仿宋_GB2312" w:eastAsia="仿宋_GB2312" w:cs="仿宋_GB2312"/>
          <w:sz w:val="32"/>
          <w:szCs w:val="32"/>
        </w:rPr>
        <w:t>人，学历教育办学效益较“十三五”翻两番。</w:t>
      </w:r>
    </w:p>
    <w:p>
      <w:pPr>
        <w:adjustRightInd w:val="0"/>
        <w:snapToGrid w:val="0"/>
        <w:spacing w:line="576" w:lineRule="exact"/>
        <w:ind w:firstLine="643" w:firstLineChars="200"/>
        <w:textAlignment w:val="center"/>
        <w:rPr>
          <w:rFonts w:ascii="仿宋_GB2312" w:hAnsi="仿宋_GB2312" w:eastAsia="仿宋_GB2312" w:cs="仿宋_GB2312"/>
          <w:sz w:val="32"/>
          <w:szCs w:val="32"/>
        </w:rPr>
      </w:pPr>
      <w:r>
        <w:rPr>
          <w:rFonts w:ascii="仿宋_GB2312" w:hAnsi="仿宋_GB2312" w:eastAsia="仿宋_GB2312" w:cs="仿宋_GB2312"/>
          <w:b/>
          <w:bCs/>
          <w:sz w:val="32"/>
          <w:szCs w:val="32"/>
        </w:rPr>
        <w:t>2.</w:t>
      </w:r>
      <w:r>
        <w:rPr>
          <w:rFonts w:hint="eastAsia" w:ascii="仿宋_GB2312" w:hAnsi="仿宋_GB2312" w:eastAsia="仿宋_GB2312" w:cs="仿宋_GB2312"/>
          <w:b/>
          <w:bCs/>
          <w:sz w:val="32"/>
          <w:szCs w:val="32"/>
        </w:rPr>
        <w:t>以市场为导向，丰富办学形式。</w:t>
      </w:r>
      <w:r>
        <w:rPr>
          <w:rFonts w:hint="eastAsia" w:ascii="仿宋_GB2312" w:hAnsi="仿宋_GB2312" w:eastAsia="仿宋_GB2312" w:cs="仿宋_GB2312"/>
          <w:sz w:val="32"/>
          <w:szCs w:val="32"/>
        </w:rPr>
        <w:t>依据相关政策，逐步恢复</w:t>
      </w:r>
      <w:r>
        <w:rPr>
          <w:rFonts w:ascii="仿宋_GB2312" w:hAnsi="仿宋_GB2312" w:eastAsia="仿宋_GB2312" w:cs="仿宋_GB2312"/>
          <w:sz w:val="32"/>
          <w:szCs w:val="32"/>
        </w:rPr>
        <w:t>3—5</w:t>
      </w:r>
      <w:r>
        <w:rPr>
          <w:rFonts w:hint="eastAsia" w:ascii="仿宋_GB2312" w:hAnsi="仿宋_GB2312" w:eastAsia="仿宋_GB2312" w:cs="仿宋_GB2312"/>
          <w:sz w:val="32"/>
          <w:szCs w:val="32"/>
        </w:rPr>
        <w:t>个市场需求较大的自考本、专科专业，开设自考助学班；根据国家政策，与相关高校联合开展在职硕士培养这一办学形式，实现我校学历教育办学层次的突破；逐步实现学历长训与技能短训相结合的继续教育模式，以满足学员多样化的选择。到“十四五”末，自考在籍学生</w:t>
      </w:r>
      <w:r>
        <w:rPr>
          <w:rFonts w:ascii="仿宋_GB2312" w:hAnsi="仿宋_GB2312" w:eastAsia="仿宋_GB2312" w:cs="仿宋_GB2312"/>
          <w:sz w:val="32"/>
          <w:szCs w:val="32"/>
        </w:rPr>
        <w:t>3000</w:t>
      </w:r>
      <w:r>
        <w:rPr>
          <w:rFonts w:hint="eastAsia" w:ascii="仿宋_GB2312" w:hAnsi="仿宋_GB2312" w:eastAsia="仿宋_GB2312" w:cs="仿宋_GB2312"/>
          <w:sz w:val="32"/>
          <w:szCs w:val="32"/>
        </w:rPr>
        <w:t>人以上，开设联合硕士培养专业</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个以上。</w:t>
      </w:r>
    </w:p>
    <w:p>
      <w:pPr>
        <w:adjustRightInd w:val="0"/>
        <w:snapToGrid w:val="0"/>
        <w:spacing w:line="576" w:lineRule="exact"/>
        <w:ind w:firstLine="643" w:firstLineChars="200"/>
        <w:textAlignment w:val="center"/>
        <w:rPr>
          <w:rFonts w:ascii="仿宋_GB2312" w:hAnsi="仿宋_GB2312" w:eastAsia="仿宋_GB2312" w:cs="仿宋_GB2312"/>
          <w:sz w:val="32"/>
          <w:szCs w:val="32"/>
        </w:rPr>
      </w:pPr>
      <w:r>
        <w:rPr>
          <w:rFonts w:ascii="仿宋_GB2312" w:hAnsi="仿宋_GB2312" w:eastAsia="仿宋_GB2312" w:cs="仿宋_GB2312"/>
          <w:b/>
          <w:bCs/>
          <w:sz w:val="32"/>
          <w:szCs w:val="32"/>
        </w:rPr>
        <w:t>3.</w:t>
      </w:r>
      <w:r>
        <w:rPr>
          <w:rFonts w:hint="eastAsia" w:ascii="仿宋_GB2312" w:hAnsi="仿宋_GB2312" w:eastAsia="仿宋_GB2312" w:cs="仿宋_GB2312"/>
          <w:b/>
          <w:bCs/>
          <w:sz w:val="32"/>
          <w:szCs w:val="32"/>
        </w:rPr>
        <w:t>加强管理，提高人才培养质量。</w:t>
      </w:r>
      <w:r>
        <w:rPr>
          <w:rFonts w:hint="eastAsia" w:ascii="仿宋_GB2312" w:hAnsi="仿宋_GB2312" w:eastAsia="仿宋_GB2312" w:cs="仿宋_GB2312"/>
          <w:sz w:val="32"/>
          <w:szCs w:val="32"/>
        </w:rPr>
        <w:t>按照上级行政主管部门文件以及政策要求进一步规范办学行为；规范教学管理，进一步完善人才培养方案和教学计划，严格选课、教学、实践、实训、考勤、作业、考核、毕业论文（设计）、毕业答辩等环节的管理要求；规范校外教学中心的建设和管理；按要求建设线上教学平台，开展线上和线下结合的混合式教学，切实提高人才培养质量。到“十四五”末，建成符合要求的集线上教学、学生管理、数据智能分析等功能于一体的学历教育综合管理平台，学生培养质量明显提高。</w:t>
      </w:r>
    </w:p>
    <w:p>
      <w:pPr>
        <w:adjustRightInd w:val="0"/>
        <w:snapToGrid w:val="0"/>
        <w:spacing w:line="560" w:lineRule="exact"/>
        <w:ind w:firstLine="643" w:firstLineChars="200"/>
        <w:textAlignment w:val="center"/>
        <w:outlineLvl w:val="1"/>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（二）非学历教育</w:t>
      </w:r>
    </w:p>
    <w:p>
      <w:pPr>
        <w:adjustRightInd w:val="0"/>
        <w:snapToGrid w:val="0"/>
        <w:spacing w:line="576" w:lineRule="exact"/>
        <w:ind w:firstLine="640" w:firstLineChars="200"/>
        <w:textAlignment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非学历教育围绕“创机制、求突破、增效益、建品牌”不断发力，大力发展非学历教育，积极开拓各行各业培训，逐步实现行业培训、技能鉴定、网络培训一体化运行。</w:t>
      </w:r>
    </w:p>
    <w:p>
      <w:pPr>
        <w:adjustRightInd w:val="0"/>
        <w:snapToGrid w:val="0"/>
        <w:spacing w:line="576" w:lineRule="exact"/>
        <w:ind w:firstLine="643" w:firstLineChars="200"/>
        <w:textAlignment w:val="center"/>
        <w:rPr>
          <w:rFonts w:ascii="仿宋_GB2312" w:hAnsi="仿宋_GB2312" w:eastAsia="仿宋_GB2312" w:cs="仿宋_GB2312"/>
          <w:sz w:val="32"/>
          <w:szCs w:val="32"/>
        </w:rPr>
      </w:pPr>
      <w:r>
        <w:rPr>
          <w:rFonts w:ascii="仿宋_GB2312" w:hAnsi="仿宋_GB2312" w:eastAsia="仿宋_GB2312" w:cs="仿宋_GB2312"/>
          <w:b/>
          <w:bCs/>
          <w:sz w:val="32"/>
          <w:szCs w:val="32"/>
        </w:rPr>
        <w:t>1.</w:t>
      </w:r>
      <w:r>
        <w:rPr>
          <w:rFonts w:hint="eastAsia" w:ascii="仿宋_GB2312" w:hAnsi="仿宋_GB2312" w:eastAsia="仿宋_GB2312" w:cs="仿宋_GB2312"/>
          <w:b/>
          <w:bCs/>
          <w:sz w:val="32"/>
          <w:szCs w:val="32"/>
        </w:rPr>
        <w:t>拓展和加强中小学教师培训项目。</w:t>
      </w:r>
      <w:r>
        <w:rPr>
          <w:rFonts w:hint="eastAsia" w:ascii="仿宋_GB2312" w:hAnsi="仿宋_GB2312" w:eastAsia="仿宋_GB2312" w:cs="仿宋_GB2312"/>
          <w:sz w:val="32"/>
          <w:szCs w:val="32"/>
        </w:rPr>
        <w:t>在积极申报国培项目的同时，强化与市、县（区）教育局、教师进修学校、中小学校的深度合作，以学前教育教师、中小学骨干教师、中小学名校长、学科骨干教师培训为重点，积极对接市县教育局，承接和协作开展教师线上线下培训。“十四五”期间每年培训班次</w:t>
      </w:r>
      <w:r>
        <w:rPr>
          <w:rFonts w:ascii="仿宋_GB2312" w:hAnsi="仿宋_GB2312" w:eastAsia="仿宋_GB2312" w:cs="仿宋_GB2312"/>
          <w:sz w:val="32"/>
          <w:szCs w:val="32"/>
        </w:rPr>
        <w:t>18</w:t>
      </w:r>
      <w:r>
        <w:rPr>
          <w:rFonts w:hint="eastAsia" w:ascii="仿宋_GB2312" w:hAnsi="仿宋_GB2312" w:eastAsia="仿宋_GB2312" w:cs="仿宋_GB2312"/>
          <w:sz w:val="32"/>
          <w:szCs w:val="32"/>
        </w:rPr>
        <w:t>个，年培训人数</w:t>
      </w:r>
      <w:r>
        <w:rPr>
          <w:rFonts w:ascii="仿宋_GB2312" w:hAnsi="仿宋_GB2312" w:eastAsia="仿宋_GB2312" w:cs="仿宋_GB2312"/>
          <w:sz w:val="32"/>
          <w:szCs w:val="32"/>
        </w:rPr>
        <w:t>1500</w:t>
      </w:r>
      <w:r>
        <w:rPr>
          <w:rFonts w:hint="eastAsia" w:ascii="仿宋_GB2312" w:hAnsi="仿宋_GB2312" w:eastAsia="仿宋_GB2312" w:cs="仿宋_GB2312"/>
          <w:sz w:val="32"/>
          <w:szCs w:val="32"/>
        </w:rPr>
        <w:t>人。</w:t>
      </w:r>
    </w:p>
    <w:p>
      <w:pPr>
        <w:adjustRightInd w:val="0"/>
        <w:snapToGrid w:val="0"/>
        <w:spacing w:line="576" w:lineRule="exact"/>
        <w:ind w:firstLine="643" w:firstLineChars="200"/>
        <w:textAlignment w:val="center"/>
        <w:rPr>
          <w:rFonts w:ascii="仿宋_GB2312" w:hAnsi="仿宋_GB2312" w:eastAsia="仿宋_GB2312" w:cs="仿宋_GB2312"/>
          <w:sz w:val="32"/>
          <w:szCs w:val="32"/>
        </w:rPr>
      </w:pPr>
      <w:r>
        <w:rPr>
          <w:rFonts w:ascii="仿宋_GB2312" w:hAnsi="仿宋_GB2312" w:eastAsia="仿宋_GB2312" w:cs="仿宋_GB2312"/>
          <w:b/>
          <w:bCs/>
          <w:sz w:val="32"/>
          <w:szCs w:val="32"/>
        </w:rPr>
        <w:t>2.</w:t>
      </w:r>
      <w:r>
        <w:rPr>
          <w:rFonts w:hint="eastAsia" w:ascii="仿宋_GB2312" w:hAnsi="仿宋_GB2312" w:eastAsia="仿宋_GB2312" w:cs="仿宋_GB2312"/>
          <w:b/>
          <w:bCs/>
          <w:sz w:val="32"/>
          <w:szCs w:val="32"/>
        </w:rPr>
        <w:t>扎根地方深耕行业培训。</w:t>
      </w:r>
      <w:r>
        <w:rPr>
          <w:rFonts w:hint="eastAsia" w:ascii="仿宋_GB2312" w:hAnsi="仿宋_GB2312" w:eastAsia="仿宋_GB2312" w:cs="仿宋_GB2312"/>
          <w:sz w:val="32"/>
          <w:szCs w:val="32"/>
        </w:rPr>
        <w:t>发挥学校学科专业优势，根据地方经济发展需要，开发具有市场适用性和竞争力的培训项目。深入推进与行业、企业、政府部门的合作与对接，开发校友资源，开拓培训市场。主动与市委组织部、乡村振兴局、农业农村局、人力资源和社会保障局、退役军人事务局等部门合作办班。探索与知名高校、培训机构合作开办教师资格证、公务员、研究生考前培训班。</w:t>
      </w:r>
    </w:p>
    <w:p>
      <w:pPr>
        <w:adjustRightInd w:val="0"/>
        <w:snapToGrid w:val="0"/>
        <w:spacing w:line="576" w:lineRule="exact"/>
        <w:ind w:firstLine="643" w:firstLineChars="200"/>
        <w:textAlignment w:val="center"/>
        <w:rPr>
          <w:rFonts w:ascii="仿宋_GB2312" w:hAnsi="仿宋_GB2312" w:eastAsia="仿宋_GB2312" w:cs="仿宋_GB2312"/>
          <w:sz w:val="32"/>
          <w:szCs w:val="32"/>
        </w:rPr>
      </w:pPr>
      <w:r>
        <w:rPr>
          <w:rFonts w:ascii="仿宋_GB2312" w:hAnsi="仿宋_GB2312" w:eastAsia="仿宋_GB2312" w:cs="仿宋_GB2312"/>
          <w:b/>
          <w:bCs/>
          <w:sz w:val="32"/>
          <w:szCs w:val="32"/>
        </w:rPr>
        <w:t>3.</w:t>
      </w:r>
      <w:r>
        <w:rPr>
          <w:rFonts w:hint="eastAsia" w:ascii="仿宋_GB2312" w:hAnsi="仿宋_GB2312" w:eastAsia="仿宋_GB2312" w:cs="仿宋_GB2312"/>
          <w:b/>
          <w:bCs/>
          <w:sz w:val="32"/>
          <w:szCs w:val="32"/>
        </w:rPr>
        <w:t>建强非学历教育线上教学平台。</w:t>
      </w:r>
      <w:r>
        <w:rPr>
          <w:rFonts w:hint="eastAsia" w:ascii="仿宋_GB2312" w:hAnsi="仿宋_GB2312" w:eastAsia="仿宋_GB2312" w:cs="仿宋_GB2312"/>
          <w:sz w:val="32"/>
          <w:szCs w:val="32"/>
        </w:rPr>
        <w:t>进一步完善永州市专业技术人员继续教育平台课程设置，优化平台体验，提升学员的满意度。同时注重加强乡村振兴、中小学教师教育等行业从业人员的线上平台建设，使线上培训成为非学历教育培训的有机组成部分。“十四五”末线上培训人员每年递增</w:t>
      </w:r>
      <w:r>
        <w:rPr>
          <w:rFonts w:ascii="仿宋_GB2312" w:hAnsi="仿宋_GB2312" w:eastAsia="仿宋_GB2312" w:cs="仿宋_GB2312"/>
          <w:sz w:val="32"/>
          <w:szCs w:val="32"/>
        </w:rPr>
        <w:t>1000</w:t>
      </w:r>
      <w:r>
        <w:rPr>
          <w:rFonts w:hint="eastAsia" w:ascii="仿宋_GB2312" w:hAnsi="仿宋_GB2312" w:eastAsia="仿宋_GB2312" w:cs="仿宋_GB2312"/>
          <w:sz w:val="32"/>
          <w:szCs w:val="32"/>
        </w:rPr>
        <w:t>人以上，线上培训总人数力求突破</w:t>
      </w:r>
      <w:r>
        <w:rPr>
          <w:rFonts w:ascii="仿宋_GB2312" w:hAnsi="仿宋_GB2312" w:eastAsia="仿宋_GB2312" w:cs="仿宋_GB2312"/>
          <w:sz w:val="32"/>
          <w:szCs w:val="32"/>
        </w:rPr>
        <w:t>15000</w:t>
      </w:r>
      <w:r>
        <w:rPr>
          <w:rFonts w:hint="eastAsia" w:ascii="仿宋_GB2312" w:hAnsi="仿宋_GB2312" w:eastAsia="仿宋_GB2312" w:cs="仿宋_GB2312"/>
          <w:sz w:val="32"/>
          <w:szCs w:val="32"/>
        </w:rPr>
        <w:t>人以上。</w:t>
      </w:r>
    </w:p>
    <w:p>
      <w:pPr>
        <w:adjustRightInd w:val="0"/>
        <w:snapToGrid w:val="0"/>
        <w:spacing w:line="576" w:lineRule="exact"/>
        <w:ind w:firstLine="643" w:firstLineChars="200"/>
        <w:textAlignment w:val="center"/>
        <w:rPr>
          <w:rFonts w:ascii="仿宋_GB2312" w:hAnsi="仿宋_GB2312" w:eastAsia="仿宋_GB2312" w:cs="仿宋_GB2312"/>
          <w:sz w:val="32"/>
          <w:szCs w:val="32"/>
        </w:rPr>
      </w:pPr>
      <w:r>
        <w:rPr>
          <w:rFonts w:ascii="仿宋_GB2312" w:hAnsi="仿宋_GB2312" w:eastAsia="仿宋_GB2312" w:cs="仿宋_GB2312"/>
          <w:b/>
          <w:bCs/>
          <w:sz w:val="32"/>
          <w:szCs w:val="32"/>
        </w:rPr>
        <w:t>4.</w:t>
      </w:r>
      <w:r>
        <w:rPr>
          <w:rFonts w:hint="eastAsia" w:ascii="仿宋_GB2312" w:hAnsi="仿宋_GB2312" w:eastAsia="仿宋_GB2312" w:cs="仿宋_GB2312"/>
          <w:b/>
          <w:bCs/>
          <w:sz w:val="32"/>
          <w:szCs w:val="32"/>
        </w:rPr>
        <w:t>深化培训基地建设。</w:t>
      </w:r>
      <w:r>
        <w:rPr>
          <w:rFonts w:hint="eastAsia" w:ascii="仿宋_GB2312" w:hAnsi="仿宋_GB2312" w:eastAsia="仿宋_GB2312" w:cs="仿宋_GB2312"/>
          <w:sz w:val="32"/>
          <w:szCs w:val="32"/>
        </w:rPr>
        <w:t>以永州市乡村振兴培训学院、纪检监察业务培训基地、退役军人职业技能培训基地等为突破口，建设行业培训基地（中心）</w:t>
      </w:r>
      <w:r>
        <w:rPr>
          <w:rFonts w:ascii="仿宋_GB2312" w:hAnsi="仿宋_GB2312" w:eastAsia="仿宋_GB2312" w:cs="仿宋_GB2312"/>
          <w:sz w:val="32"/>
          <w:szCs w:val="32"/>
        </w:rPr>
        <w:t>3-5</w:t>
      </w:r>
      <w:r>
        <w:rPr>
          <w:rFonts w:hint="eastAsia" w:ascii="仿宋_GB2312" w:hAnsi="仿宋_GB2312" w:eastAsia="仿宋_GB2312" w:cs="仿宋_GB2312"/>
          <w:sz w:val="32"/>
          <w:szCs w:val="32"/>
        </w:rPr>
        <w:t>个，建立和完善长效的招生、培训、教学和实践管理体系。建强乡村振兴培训学院，开展涵盖基层干部能力提升、干部群众素能提升、新型职业农民培养、农村电商人才培养、农村青年人才培养、乡村规划师培养等全方位培训。</w:t>
      </w:r>
    </w:p>
    <w:p>
      <w:pPr>
        <w:adjustRightInd w:val="0"/>
        <w:snapToGrid w:val="0"/>
        <w:spacing w:line="576" w:lineRule="exact"/>
        <w:ind w:firstLine="643" w:firstLineChars="200"/>
        <w:textAlignment w:val="center"/>
        <w:rPr>
          <w:rFonts w:ascii="仿宋_GB2312" w:hAnsi="仿宋_GB2312" w:eastAsia="仿宋_GB2312" w:cs="仿宋_GB2312"/>
          <w:sz w:val="32"/>
          <w:szCs w:val="32"/>
        </w:rPr>
      </w:pPr>
      <w:r>
        <w:rPr>
          <w:rFonts w:ascii="仿宋_GB2312" w:hAnsi="仿宋_GB2312" w:eastAsia="仿宋_GB2312" w:cs="仿宋_GB2312"/>
          <w:b/>
          <w:bCs/>
          <w:sz w:val="32"/>
          <w:szCs w:val="32"/>
        </w:rPr>
        <w:t>5.</w:t>
      </w:r>
      <w:r>
        <w:rPr>
          <w:rFonts w:hint="eastAsia" w:ascii="仿宋_GB2312" w:hAnsi="仿宋_GB2312" w:eastAsia="仿宋_GB2312" w:cs="仿宋_GB2312"/>
          <w:b/>
          <w:bCs/>
          <w:sz w:val="32"/>
          <w:szCs w:val="32"/>
        </w:rPr>
        <w:t>推进职业技能培训和认定。</w:t>
      </w:r>
      <w:r>
        <w:rPr>
          <w:rFonts w:hint="eastAsia" w:ascii="仿宋_GB2312" w:hAnsi="仿宋_GB2312" w:eastAsia="仿宋_GB2312" w:cs="仿宋_GB2312"/>
          <w:sz w:val="32"/>
          <w:szCs w:val="32"/>
        </w:rPr>
        <w:t>在校大学生“</w:t>
      </w:r>
      <w:r>
        <w:rPr>
          <w:rFonts w:ascii="仿宋_GB2312" w:hAnsi="仿宋_GB2312" w:eastAsia="仿宋_GB2312" w:cs="仿宋_GB2312"/>
          <w:sz w:val="32"/>
          <w:szCs w:val="32"/>
        </w:rPr>
        <w:t>1+X</w:t>
      </w:r>
      <w:r>
        <w:rPr>
          <w:rFonts w:hint="eastAsia" w:ascii="仿宋_GB2312" w:hAnsi="仿宋_GB2312" w:eastAsia="仿宋_GB2312" w:cs="仿宋_GB2312"/>
          <w:sz w:val="32"/>
          <w:szCs w:val="32"/>
        </w:rPr>
        <w:t>”职业技能证书的全面推开和职业技能等级的社会化认定要求职业技能鉴定必须转型和升级。未来几年，积极对接市场需求，面向特定人群举办培训、开展职业技能等级认定。“十四五”期间每年新增</w:t>
      </w:r>
      <w:r>
        <w:rPr>
          <w:rFonts w:ascii="仿宋_GB2312" w:hAnsi="仿宋_GB2312" w:eastAsia="仿宋_GB2312" w:cs="仿宋_GB2312"/>
          <w:sz w:val="32"/>
          <w:szCs w:val="32"/>
        </w:rPr>
        <w:t>1-3</w:t>
      </w:r>
      <w:r>
        <w:rPr>
          <w:rFonts w:hint="eastAsia" w:ascii="仿宋_GB2312" w:hAnsi="仿宋_GB2312" w:eastAsia="仿宋_GB2312" w:cs="仿宋_GB2312"/>
          <w:sz w:val="32"/>
          <w:szCs w:val="32"/>
        </w:rPr>
        <w:t>个工种，年鉴定人数</w:t>
      </w:r>
      <w:r>
        <w:rPr>
          <w:rFonts w:ascii="仿宋_GB2312" w:hAnsi="仿宋_GB2312" w:eastAsia="仿宋_GB2312" w:cs="仿宋_GB2312"/>
          <w:sz w:val="32"/>
          <w:szCs w:val="32"/>
        </w:rPr>
        <w:t>300</w:t>
      </w:r>
      <w:r>
        <w:rPr>
          <w:rFonts w:hint="eastAsia" w:ascii="仿宋_GB2312" w:hAnsi="仿宋_GB2312" w:eastAsia="仿宋_GB2312" w:cs="仿宋_GB2312"/>
          <w:sz w:val="32"/>
          <w:szCs w:val="32"/>
        </w:rPr>
        <w:t>人以上。</w:t>
      </w:r>
    </w:p>
    <w:p>
      <w:pPr>
        <w:adjustRightInd w:val="0"/>
        <w:snapToGrid w:val="0"/>
        <w:spacing w:line="576" w:lineRule="exact"/>
        <w:ind w:firstLine="640" w:firstLineChars="200"/>
        <w:textAlignment w:val="center"/>
        <w:outlineLvl w:val="0"/>
        <w:rPr>
          <w:rFonts w:ascii="黑体" w:hAnsi="黑体" w:eastAsia="黑体" w:cs="黑体"/>
          <w:sz w:val="32"/>
          <w:szCs w:val="32"/>
        </w:rPr>
      </w:pPr>
      <w:r>
        <w:rPr>
          <w:rFonts w:hint="eastAsia" w:ascii="黑体" w:hAnsi="黑体" w:eastAsia="黑体" w:cs="黑体"/>
          <w:sz w:val="32"/>
          <w:szCs w:val="32"/>
        </w:rPr>
        <w:t>四、保障机制</w:t>
      </w:r>
    </w:p>
    <w:p>
      <w:pPr>
        <w:adjustRightInd w:val="0"/>
        <w:snapToGrid w:val="0"/>
        <w:spacing w:line="560" w:lineRule="exact"/>
        <w:ind w:firstLine="643" w:firstLineChars="200"/>
        <w:textAlignment w:val="center"/>
        <w:outlineLvl w:val="1"/>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（一）加强组织领导</w:t>
      </w:r>
      <w:r>
        <w:rPr>
          <w:rFonts w:ascii="楷体_GB2312" w:hAnsi="楷体_GB2312" w:eastAsia="楷体_GB2312" w:cs="楷体_GB2312"/>
          <w:b/>
          <w:bCs/>
          <w:sz w:val="32"/>
          <w:szCs w:val="32"/>
        </w:rPr>
        <w:t xml:space="preserve"> </w:t>
      </w:r>
    </w:p>
    <w:p>
      <w:pPr>
        <w:adjustRightInd w:val="0"/>
        <w:snapToGrid w:val="0"/>
        <w:spacing w:line="576" w:lineRule="exact"/>
        <w:ind w:firstLine="640" w:firstLineChars="200"/>
        <w:textAlignment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学校成立继续教育工作领导小组，全面负责与统一领导全校的继续教育工作，增强二级单位和教职员工参与继续教育工作的责任心和积极性。同时，加大学历教育和培训工作硬件软件投入，改善培训条件和教学场所。</w:t>
      </w:r>
    </w:p>
    <w:p>
      <w:pPr>
        <w:adjustRightInd w:val="0"/>
        <w:snapToGrid w:val="0"/>
        <w:spacing w:line="560" w:lineRule="exact"/>
        <w:ind w:firstLine="643" w:firstLineChars="200"/>
        <w:textAlignment w:val="center"/>
        <w:outlineLvl w:val="1"/>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（二）规范教育管理</w:t>
      </w:r>
    </w:p>
    <w:p>
      <w:pPr>
        <w:adjustRightInd w:val="0"/>
        <w:snapToGrid w:val="0"/>
        <w:spacing w:line="576" w:lineRule="exact"/>
        <w:ind w:firstLine="640" w:firstLineChars="200"/>
        <w:textAlignment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规范办学行为，守住办学底线，将办学保障放在继续教育办学的首要位置。在课程开发、师资配备、</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教学模式、质量评估、教学管理等方面严格要求，着力打造一批能够代表本校继续教育特色与教学培训品质的继续教育品牌。在培训管理上，要更加注重培训质量，加强对包括培训项目审核、申报，培训过程质量监控，培训效果反馈等整个过程的管理，制定并落实更行之有效的管理制度。</w:t>
      </w:r>
    </w:p>
    <w:p>
      <w:pPr>
        <w:adjustRightInd w:val="0"/>
        <w:snapToGrid w:val="0"/>
        <w:spacing w:line="560" w:lineRule="exact"/>
        <w:ind w:firstLine="643" w:firstLineChars="200"/>
        <w:textAlignment w:val="center"/>
        <w:outlineLvl w:val="1"/>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（三）建强师资队伍</w:t>
      </w:r>
    </w:p>
    <w:p>
      <w:pPr>
        <w:adjustRightInd w:val="0"/>
        <w:snapToGrid w:val="0"/>
        <w:spacing w:line="576" w:lineRule="exact"/>
        <w:ind w:firstLine="640" w:firstLineChars="200"/>
        <w:textAlignment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建立高校继续教育师资培育机制，教师培育坚持校内专家、校外行家与企业专家相结合，使继续教育的师资素质符合受教育者的多样化教育需求。通过外引内培的方式，提升师资水平，打造一支高素质培训师资队伍。建立培训师资资源库，开发多样化、多层次、多序列的模块式名师课程项目库。</w:t>
      </w:r>
    </w:p>
    <w:p>
      <w:pPr>
        <w:adjustRightInd w:val="0"/>
        <w:snapToGrid w:val="0"/>
        <w:spacing w:line="560" w:lineRule="exact"/>
        <w:ind w:firstLine="643" w:firstLineChars="200"/>
        <w:textAlignment w:val="center"/>
        <w:outlineLvl w:val="1"/>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（四）完善激励机制</w:t>
      </w:r>
    </w:p>
    <w:p>
      <w:pPr>
        <w:adjustRightInd w:val="0"/>
        <w:snapToGrid w:val="0"/>
        <w:spacing w:line="576" w:lineRule="exact"/>
        <w:ind w:firstLine="640" w:firstLineChars="200"/>
        <w:textAlignment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实行目标管理，出台激励措施，提高广大教职工工作积极性和市场竞争意识，不断提升办学质量和办学效益。通过系列措施，激励与各级政府、行业（企业）、其他办学机构全方位合作，不断开拓培训市场，扩大影响力。</w:t>
      </w:r>
    </w:p>
    <w:p>
      <w:pPr>
        <w:widowControl/>
        <w:spacing w:line="560" w:lineRule="exact"/>
        <w:ind w:firstLine="640" w:firstLineChars="200"/>
        <w:rPr>
          <w:b/>
          <w:bCs/>
          <w:sz w:val="28"/>
          <w:szCs w:val="36"/>
        </w:rPr>
      </w:pPr>
      <w:r>
        <w:rPr>
          <w:kern w:val="0"/>
          <w:sz w:val="32"/>
          <w:szCs w:val="32"/>
        </w:rPr>
        <w:br w:type="page"/>
      </w:r>
      <w:bookmarkStart w:id="3" w:name="_GoBack"/>
      <w:r>
        <w:rPr>
          <w:rFonts w:hint="eastAsia"/>
          <w:b/>
          <w:bCs/>
          <w:sz w:val="28"/>
          <w:szCs w:val="36"/>
        </w:rPr>
        <w:t>附件：</w:t>
      </w:r>
    </w:p>
    <w:bookmarkEnd w:id="3"/>
    <w:p>
      <w:pPr>
        <w:pStyle w:val="23"/>
        <w:spacing w:line="560" w:lineRule="exact"/>
        <w:ind w:left="29" w:leftChars="-18" w:hanging="67" w:hangingChars="21"/>
        <w:jc w:val="center"/>
        <w:outlineLvl w:val="0"/>
        <w:rPr>
          <w:rFonts w:ascii="方正仿宋_GB2312" w:hAnsi="方正仿宋_GB2312" w:eastAsia="方正仿宋_GB2312" w:cs="方正仿宋_GB2312"/>
          <w:b/>
          <w:bCs/>
          <w:color w:val="000000"/>
          <w:sz w:val="32"/>
          <w:szCs w:val="32"/>
        </w:rPr>
      </w:pPr>
      <w:bookmarkStart w:id="2" w:name="_Toc19976"/>
      <w:r>
        <w:rPr>
          <w:rFonts w:hint="eastAsia" w:ascii="方正仿宋_GB2312" w:hAnsi="方正仿宋_GB2312" w:eastAsia="方正仿宋_GB2312" w:cs="方正仿宋_GB2312"/>
          <w:b/>
          <w:bCs/>
          <w:color w:val="000000"/>
          <w:sz w:val="32"/>
          <w:szCs w:val="32"/>
        </w:rPr>
        <w:t>继续教育“十四五”建设与发展规划核心指标一览表</w:t>
      </w:r>
      <w:bookmarkEnd w:id="2"/>
    </w:p>
    <w:tbl>
      <w:tblPr>
        <w:tblStyle w:val="7"/>
        <w:tblW w:w="8784" w:type="dxa"/>
        <w:tblInd w:w="0" w:type="dxa"/>
        <w:tblLayout w:type="fixed"/>
        <w:tblCellMar>
          <w:top w:w="0" w:type="dxa"/>
          <w:left w:w="108" w:type="dxa"/>
          <w:bottom w:w="0" w:type="dxa"/>
          <w:right w:w="108" w:type="dxa"/>
        </w:tblCellMar>
      </w:tblPr>
      <w:tblGrid>
        <w:gridCol w:w="460"/>
        <w:gridCol w:w="811"/>
        <w:gridCol w:w="2077"/>
        <w:gridCol w:w="1440"/>
        <w:gridCol w:w="1440"/>
        <w:gridCol w:w="900"/>
        <w:gridCol w:w="1656"/>
      </w:tblGrid>
      <w:tr>
        <w:tblPrEx>
          <w:tblCellMar>
            <w:top w:w="0" w:type="dxa"/>
            <w:left w:w="108" w:type="dxa"/>
            <w:bottom w:w="0" w:type="dxa"/>
            <w:right w:w="108" w:type="dxa"/>
          </w:tblCellMar>
        </w:tblPrEx>
        <w:trPr>
          <w:trHeight w:val="404" w:hRule="atLeast"/>
          <w:tblHeader/>
        </w:trPr>
        <w:tc>
          <w:tcPr>
            <w:tcW w:w="46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560" w:lineRule="exact"/>
              <w:rPr>
                <w:rFonts w:ascii="方正仿宋_GB2312" w:hAnsi="方正仿宋_GB2312" w:eastAsia="方正仿宋_GB2312" w:cs="方正仿宋_GB2312"/>
                <w:b/>
                <w:bCs/>
                <w:color w:val="000000"/>
                <w:kern w:val="0"/>
                <w:szCs w:val="21"/>
              </w:rPr>
            </w:pPr>
            <w:r>
              <w:rPr>
                <w:rFonts w:hint="eastAsia" w:ascii="方正仿宋_GB2312" w:hAnsi="方正仿宋_GB2312" w:eastAsia="方正仿宋_GB2312" w:cs="方正仿宋_GB2312"/>
                <w:b/>
                <w:bCs/>
                <w:color w:val="000000"/>
                <w:kern w:val="0"/>
                <w:szCs w:val="21"/>
              </w:rPr>
              <w:t>序号</w:t>
            </w:r>
          </w:p>
        </w:tc>
        <w:tc>
          <w:tcPr>
            <w:tcW w:w="811" w:type="dxa"/>
            <w:vMerge w:val="restart"/>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方正仿宋_GB2312" w:hAnsi="方正仿宋_GB2312" w:eastAsia="方正仿宋_GB2312" w:cs="方正仿宋_GB2312"/>
                <w:b/>
                <w:bCs/>
                <w:color w:val="000000"/>
                <w:kern w:val="0"/>
                <w:szCs w:val="21"/>
              </w:rPr>
            </w:pPr>
            <w:r>
              <w:rPr>
                <w:rFonts w:hint="eastAsia" w:ascii="方正仿宋_GB2312" w:hAnsi="方正仿宋_GB2312" w:eastAsia="方正仿宋_GB2312" w:cs="方正仿宋_GB2312"/>
                <w:b/>
                <w:bCs/>
                <w:color w:val="000000"/>
                <w:kern w:val="0"/>
                <w:szCs w:val="21"/>
              </w:rPr>
              <w:t>建设类型</w:t>
            </w:r>
          </w:p>
        </w:tc>
        <w:tc>
          <w:tcPr>
            <w:tcW w:w="2077" w:type="dxa"/>
            <w:vMerge w:val="restart"/>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方正仿宋_GB2312" w:hAnsi="方正仿宋_GB2312" w:eastAsia="方正仿宋_GB2312" w:cs="方正仿宋_GB2312"/>
                <w:b/>
                <w:bCs/>
                <w:color w:val="000000"/>
                <w:kern w:val="0"/>
                <w:szCs w:val="21"/>
              </w:rPr>
            </w:pPr>
            <w:r>
              <w:rPr>
                <w:rFonts w:hint="eastAsia" w:ascii="方正仿宋_GB2312" w:hAnsi="方正仿宋_GB2312" w:eastAsia="方正仿宋_GB2312" w:cs="方正仿宋_GB2312"/>
                <w:b/>
                <w:bCs/>
                <w:color w:val="000000"/>
                <w:kern w:val="0"/>
                <w:szCs w:val="21"/>
              </w:rPr>
              <w:t>指标名称</w:t>
            </w:r>
          </w:p>
        </w:tc>
        <w:tc>
          <w:tcPr>
            <w:tcW w:w="2880" w:type="dxa"/>
            <w:gridSpan w:val="2"/>
            <w:tcBorders>
              <w:top w:val="single" w:color="auto" w:sz="4" w:space="0"/>
              <w:left w:val="nil"/>
              <w:bottom w:val="single" w:color="auto" w:sz="4" w:space="0"/>
              <w:right w:val="single" w:color="auto" w:sz="4" w:space="0"/>
            </w:tcBorders>
            <w:vAlign w:val="center"/>
          </w:tcPr>
          <w:p>
            <w:pPr>
              <w:widowControl/>
              <w:spacing w:line="560" w:lineRule="exact"/>
              <w:jc w:val="center"/>
              <w:rPr>
                <w:rFonts w:ascii="方正仿宋_GB2312" w:hAnsi="方正仿宋_GB2312" w:eastAsia="方正仿宋_GB2312" w:cs="方正仿宋_GB2312"/>
                <w:b/>
                <w:bCs/>
                <w:color w:val="000000"/>
                <w:kern w:val="0"/>
                <w:szCs w:val="21"/>
              </w:rPr>
            </w:pPr>
            <w:r>
              <w:rPr>
                <w:rFonts w:hint="eastAsia" w:ascii="方正仿宋_GB2312" w:hAnsi="方正仿宋_GB2312" w:eastAsia="方正仿宋_GB2312" w:cs="方正仿宋_GB2312"/>
                <w:b/>
                <w:bCs/>
                <w:color w:val="000000"/>
                <w:kern w:val="0"/>
                <w:szCs w:val="21"/>
              </w:rPr>
              <w:t>指标数值</w:t>
            </w:r>
          </w:p>
        </w:tc>
        <w:tc>
          <w:tcPr>
            <w:tcW w:w="90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方正仿宋_GB2312" w:hAnsi="方正仿宋_GB2312" w:eastAsia="方正仿宋_GB2312" w:cs="方正仿宋_GB2312"/>
                <w:b/>
                <w:bCs/>
                <w:color w:val="000000"/>
                <w:kern w:val="0"/>
                <w:szCs w:val="21"/>
              </w:rPr>
            </w:pPr>
            <w:r>
              <w:rPr>
                <w:rFonts w:hint="eastAsia" w:ascii="方正仿宋_GB2312" w:hAnsi="方正仿宋_GB2312" w:eastAsia="方正仿宋_GB2312" w:cs="方正仿宋_GB2312"/>
                <w:b/>
                <w:bCs/>
                <w:color w:val="000000"/>
                <w:kern w:val="0"/>
                <w:szCs w:val="21"/>
              </w:rPr>
              <w:t>指标</w:t>
            </w:r>
          </w:p>
          <w:p>
            <w:pPr>
              <w:widowControl/>
              <w:spacing w:line="560" w:lineRule="exact"/>
              <w:jc w:val="center"/>
              <w:rPr>
                <w:rFonts w:ascii="方正仿宋_GB2312" w:hAnsi="方正仿宋_GB2312" w:eastAsia="方正仿宋_GB2312" w:cs="方正仿宋_GB2312"/>
                <w:b/>
                <w:bCs/>
                <w:color w:val="000000"/>
                <w:kern w:val="0"/>
                <w:szCs w:val="21"/>
              </w:rPr>
            </w:pPr>
            <w:r>
              <w:rPr>
                <w:rFonts w:hint="eastAsia" w:ascii="方正仿宋_GB2312" w:hAnsi="方正仿宋_GB2312" w:eastAsia="方正仿宋_GB2312" w:cs="方正仿宋_GB2312"/>
                <w:b/>
                <w:bCs/>
                <w:color w:val="000000"/>
                <w:kern w:val="0"/>
                <w:szCs w:val="21"/>
              </w:rPr>
              <w:t>属性</w:t>
            </w:r>
          </w:p>
        </w:tc>
        <w:tc>
          <w:tcPr>
            <w:tcW w:w="165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560" w:lineRule="exact"/>
              <w:rPr>
                <w:rFonts w:ascii="方正仿宋_GB2312" w:hAnsi="方正仿宋_GB2312" w:eastAsia="方正仿宋_GB2312" w:cs="方正仿宋_GB2312"/>
                <w:b/>
                <w:bCs/>
                <w:color w:val="000000"/>
                <w:kern w:val="0"/>
                <w:szCs w:val="21"/>
              </w:rPr>
            </w:pPr>
            <w:r>
              <w:rPr>
                <w:rFonts w:hint="eastAsia" w:ascii="方正仿宋_GB2312" w:hAnsi="方正仿宋_GB2312" w:eastAsia="方正仿宋_GB2312" w:cs="方正仿宋_GB2312"/>
                <w:b/>
                <w:bCs/>
                <w:color w:val="000000"/>
                <w:kern w:val="0"/>
                <w:szCs w:val="21"/>
              </w:rPr>
              <w:t>负责人</w:t>
            </w:r>
          </w:p>
        </w:tc>
      </w:tr>
      <w:tr>
        <w:tblPrEx>
          <w:tblCellMar>
            <w:top w:w="0" w:type="dxa"/>
            <w:left w:w="108" w:type="dxa"/>
            <w:bottom w:w="0" w:type="dxa"/>
            <w:right w:w="108" w:type="dxa"/>
          </w:tblCellMar>
        </w:tblPrEx>
        <w:trPr>
          <w:trHeight w:val="399" w:hRule="atLeast"/>
          <w:tblHeader/>
        </w:trPr>
        <w:tc>
          <w:tcPr>
            <w:tcW w:w="46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560" w:lineRule="exact"/>
              <w:rPr>
                <w:rFonts w:ascii="方正仿宋_GB2312" w:hAnsi="方正仿宋_GB2312" w:eastAsia="方正仿宋_GB2312" w:cs="方正仿宋_GB2312"/>
                <w:b/>
                <w:bCs/>
                <w:color w:val="000000"/>
                <w:kern w:val="0"/>
                <w:szCs w:val="21"/>
              </w:rPr>
            </w:pPr>
          </w:p>
        </w:tc>
        <w:tc>
          <w:tcPr>
            <w:tcW w:w="81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560" w:lineRule="exact"/>
              <w:rPr>
                <w:rFonts w:ascii="方正仿宋_GB2312" w:hAnsi="方正仿宋_GB2312" w:eastAsia="方正仿宋_GB2312" w:cs="方正仿宋_GB2312"/>
                <w:b/>
                <w:bCs/>
                <w:color w:val="000000"/>
                <w:kern w:val="0"/>
                <w:szCs w:val="21"/>
              </w:rPr>
            </w:pPr>
          </w:p>
        </w:tc>
        <w:tc>
          <w:tcPr>
            <w:tcW w:w="207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560" w:lineRule="exact"/>
              <w:rPr>
                <w:rFonts w:ascii="方正仿宋_GB2312" w:hAnsi="方正仿宋_GB2312" w:eastAsia="方正仿宋_GB2312" w:cs="方正仿宋_GB2312"/>
                <w:b/>
                <w:bCs/>
                <w:color w:val="000000"/>
                <w:kern w:val="0"/>
                <w:szCs w:val="21"/>
              </w:rPr>
            </w:pPr>
          </w:p>
        </w:tc>
        <w:tc>
          <w:tcPr>
            <w:tcW w:w="1440" w:type="dxa"/>
            <w:tcBorders>
              <w:top w:val="nil"/>
              <w:left w:val="nil"/>
              <w:bottom w:val="single" w:color="auto" w:sz="4" w:space="0"/>
              <w:right w:val="single" w:color="auto" w:sz="4" w:space="0"/>
            </w:tcBorders>
            <w:vAlign w:val="center"/>
          </w:tcPr>
          <w:p>
            <w:pPr>
              <w:widowControl/>
              <w:adjustRightInd w:val="0"/>
              <w:snapToGrid w:val="0"/>
              <w:spacing w:line="560" w:lineRule="exact"/>
              <w:ind w:left="-105" w:leftChars="-50" w:right="-105" w:rightChars="-50"/>
              <w:jc w:val="center"/>
              <w:rPr>
                <w:rFonts w:ascii="方正仿宋_GB2312" w:hAnsi="方正仿宋_GB2312" w:eastAsia="方正仿宋_GB2312" w:cs="方正仿宋_GB2312"/>
                <w:b/>
                <w:bCs/>
                <w:color w:val="000000"/>
                <w:kern w:val="0"/>
                <w:sz w:val="18"/>
                <w:szCs w:val="18"/>
              </w:rPr>
            </w:pPr>
            <w:r>
              <w:rPr>
                <w:rFonts w:ascii="方正仿宋_GB2312" w:hAnsi="方正仿宋_GB2312" w:eastAsia="方正仿宋_GB2312" w:cs="方正仿宋_GB2312"/>
                <w:b/>
                <w:bCs/>
                <w:color w:val="000000"/>
                <w:kern w:val="0"/>
                <w:sz w:val="18"/>
                <w:szCs w:val="18"/>
              </w:rPr>
              <w:t>2020</w:t>
            </w:r>
            <w:r>
              <w:rPr>
                <w:rFonts w:hint="eastAsia" w:ascii="方正仿宋_GB2312" w:hAnsi="方正仿宋_GB2312" w:eastAsia="方正仿宋_GB2312" w:cs="方正仿宋_GB2312"/>
                <w:b/>
                <w:bCs/>
                <w:color w:val="000000"/>
                <w:kern w:val="0"/>
                <w:sz w:val="18"/>
                <w:szCs w:val="18"/>
              </w:rPr>
              <w:t>年现有</w:t>
            </w:r>
          </w:p>
        </w:tc>
        <w:tc>
          <w:tcPr>
            <w:tcW w:w="1440" w:type="dxa"/>
            <w:tcBorders>
              <w:top w:val="nil"/>
              <w:left w:val="nil"/>
              <w:bottom w:val="single" w:color="auto" w:sz="4" w:space="0"/>
              <w:right w:val="single" w:color="auto" w:sz="4" w:space="0"/>
            </w:tcBorders>
            <w:vAlign w:val="center"/>
          </w:tcPr>
          <w:p>
            <w:pPr>
              <w:widowControl/>
              <w:adjustRightInd w:val="0"/>
              <w:snapToGrid w:val="0"/>
              <w:spacing w:line="560" w:lineRule="exact"/>
              <w:ind w:left="-105" w:leftChars="-50" w:right="-105" w:rightChars="-50"/>
              <w:jc w:val="center"/>
              <w:rPr>
                <w:rFonts w:ascii="方正仿宋_GB2312" w:hAnsi="方正仿宋_GB2312" w:eastAsia="方正仿宋_GB2312" w:cs="方正仿宋_GB2312"/>
                <w:b/>
                <w:bCs/>
                <w:color w:val="000000"/>
                <w:kern w:val="0"/>
                <w:sz w:val="18"/>
                <w:szCs w:val="18"/>
              </w:rPr>
            </w:pPr>
            <w:r>
              <w:rPr>
                <w:rFonts w:ascii="方正仿宋_GB2312" w:hAnsi="方正仿宋_GB2312" w:eastAsia="方正仿宋_GB2312" w:cs="方正仿宋_GB2312"/>
                <w:b/>
                <w:bCs/>
                <w:color w:val="000000"/>
                <w:kern w:val="0"/>
                <w:sz w:val="18"/>
                <w:szCs w:val="18"/>
              </w:rPr>
              <w:t>2025</w:t>
            </w:r>
            <w:r>
              <w:rPr>
                <w:rFonts w:hint="eastAsia" w:ascii="方正仿宋_GB2312" w:hAnsi="方正仿宋_GB2312" w:eastAsia="方正仿宋_GB2312" w:cs="方正仿宋_GB2312"/>
                <w:b/>
                <w:bCs/>
                <w:color w:val="000000"/>
                <w:kern w:val="0"/>
                <w:sz w:val="18"/>
                <w:szCs w:val="18"/>
              </w:rPr>
              <w:t>年预期</w:t>
            </w:r>
          </w:p>
        </w:tc>
        <w:tc>
          <w:tcPr>
            <w:tcW w:w="90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560" w:lineRule="exact"/>
              <w:rPr>
                <w:rFonts w:ascii="方正仿宋_GB2312" w:hAnsi="方正仿宋_GB2312" w:eastAsia="方正仿宋_GB2312" w:cs="方正仿宋_GB2312"/>
                <w:b/>
                <w:bCs/>
                <w:color w:val="000000"/>
                <w:kern w:val="0"/>
                <w:szCs w:val="21"/>
              </w:rPr>
            </w:pPr>
          </w:p>
        </w:tc>
        <w:tc>
          <w:tcPr>
            <w:tcW w:w="165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560" w:lineRule="exact"/>
              <w:rPr>
                <w:rFonts w:ascii="方正仿宋_GB2312" w:hAnsi="方正仿宋_GB2312" w:eastAsia="方正仿宋_GB2312" w:cs="方正仿宋_GB2312"/>
                <w:b/>
                <w:bCs/>
                <w:color w:val="000000"/>
                <w:kern w:val="0"/>
                <w:szCs w:val="21"/>
              </w:rPr>
            </w:pPr>
          </w:p>
        </w:tc>
      </w:tr>
      <w:tr>
        <w:tblPrEx>
          <w:tblCellMar>
            <w:top w:w="0" w:type="dxa"/>
            <w:left w:w="108" w:type="dxa"/>
            <w:bottom w:w="0" w:type="dxa"/>
            <w:right w:w="108" w:type="dxa"/>
          </w:tblCellMar>
        </w:tblPrEx>
        <w:trPr>
          <w:trHeight w:val="397" w:hRule="atLeast"/>
        </w:trPr>
        <w:tc>
          <w:tcPr>
            <w:tcW w:w="460" w:type="dxa"/>
            <w:tcBorders>
              <w:top w:val="nil"/>
              <w:left w:val="single" w:color="auto" w:sz="4" w:space="0"/>
              <w:bottom w:val="single" w:color="auto" w:sz="4" w:space="0"/>
              <w:right w:val="single" w:color="auto" w:sz="4" w:space="0"/>
            </w:tcBorders>
            <w:vAlign w:val="center"/>
          </w:tcPr>
          <w:p>
            <w:pPr>
              <w:widowControl/>
              <w:spacing w:line="560" w:lineRule="exact"/>
              <w:jc w:val="center"/>
              <w:rPr>
                <w:rFonts w:ascii="方正仿宋_GB2312" w:hAnsi="方正仿宋_GB2312" w:eastAsia="方正仿宋_GB2312" w:cs="方正仿宋_GB2312"/>
                <w:color w:val="000000"/>
                <w:kern w:val="0"/>
                <w:szCs w:val="21"/>
              </w:rPr>
            </w:pPr>
            <w:r>
              <w:rPr>
                <w:rFonts w:ascii="方正仿宋_GB2312" w:hAnsi="方正仿宋_GB2312" w:eastAsia="方正仿宋_GB2312" w:cs="方正仿宋_GB2312"/>
                <w:color w:val="000000"/>
                <w:kern w:val="0"/>
                <w:szCs w:val="21"/>
              </w:rPr>
              <w:t>1</w:t>
            </w:r>
          </w:p>
        </w:tc>
        <w:tc>
          <w:tcPr>
            <w:tcW w:w="811" w:type="dxa"/>
            <w:vMerge w:val="restart"/>
            <w:tcBorders>
              <w:top w:val="nil"/>
              <w:left w:val="single" w:color="auto" w:sz="4" w:space="0"/>
              <w:right w:val="single" w:color="auto" w:sz="4" w:space="0"/>
            </w:tcBorders>
            <w:vAlign w:val="center"/>
          </w:tcPr>
          <w:p>
            <w:pPr>
              <w:widowControl/>
              <w:spacing w:line="560" w:lineRule="exact"/>
              <w:jc w:val="center"/>
              <w:rPr>
                <w:rFonts w:ascii="方正仿宋_GB2312" w:hAnsi="方正仿宋_GB2312" w:eastAsia="方正仿宋_GB2312" w:cs="方正仿宋_GB2312"/>
                <w:b/>
                <w:bCs/>
                <w:color w:val="000000"/>
                <w:kern w:val="0"/>
                <w:szCs w:val="21"/>
              </w:rPr>
            </w:pPr>
            <w:r>
              <w:rPr>
                <w:rFonts w:hint="eastAsia" w:ascii="方正仿宋_GB2312" w:hAnsi="方正仿宋_GB2312" w:eastAsia="方正仿宋_GB2312" w:cs="方正仿宋_GB2312"/>
                <w:b/>
                <w:bCs/>
                <w:color w:val="000000"/>
                <w:kern w:val="0"/>
                <w:szCs w:val="21"/>
              </w:rPr>
              <w:t>学历教育</w:t>
            </w:r>
          </w:p>
        </w:tc>
        <w:tc>
          <w:tcPr>
            <w:tcW w:w="2077" w:type="dxa"/>
            <w:tcBorders>
              <w:top w:val="nil"/>
              <w:left w:val="nil"/>
              <w:bottom w:val="single" w:color="auto" w:sz="4" w:space="0"/>
              <w:right w:val="single" w:color="auto" w:sz="4" w:space="0"/>
            </w:tcBorders>
            <w:vAlign w:val="center"/>
          </w:tcPr>
          <w:p>
            <w:pPr>
              <w:widowControl/>
              <w:spacing w:line="560" w:lineRule="exact"/>
              <w:rPr>
                <w:rFonts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省内教学中心</w:t>
            </w:r>
          </w:p>
        </w:tc>
        <w:tc>
          <w:tcPr>
            <w:tcW w:w="1440" w:type="dxa"/>
            <w:tcBorders>
              <w:top w:val="nil"/>
              <w:left w:val="nil"/>
              <w:bottom w:val="single" w:color="auto" w:sz="4" w:space="0"/>
              <w:right w:val="single" w:color="auto" w:sz="4" w:space="0"/>
            </w:tcBorders>
            <w:vAlign w:val="center"/>
          </w:tcPr>
          <w:p>
            <w:pPr>
              <w:widowControl/>
              <w:spacing w:line="560" w:lineRule="exact"/>
              <w:rPr>
                <w:rFonts w:ascii="方正仿宋_GB2312" w:hAnsi="方正仿宋_GB2312" w:eastAsia="方正仿宋_GB2312" w:cs="方正仿宋_GB2312"/>
                <w:color w:val="000000"/>
                <w:kern w:val="0"/>
                <w:szCs w:val="21"/>
              </w:rPr>
            </w:pPr>
            <w:r>
              <w:rPr>
                <w:rFonts w:ascii="方正仿宋_GB2312" w:hAnsi="方正仿宋_GB2312" w:eastAsia="方正仿宋_GB2312" w:cs="方正仿宋_GB2312"/>
                <w:color w:val="000000"/>
                <w:kern w:val="0"/>
                <w:szCs w:val="21"/>
              </w:rPr>
              <w:t>1</w:t>
            </w:r>
            <w:r>
              <w:rPr>
                <w:rFonts w:hint="eastAsia" w:ascii="方正仿宋_GB2312" w:hAnsi="方正仿宋_GB2312" w:eastAsia="方正仿宋_GB2312" w:cs="方正仿宋_GB2312"/>
                <w:color w:val="000000"/>
                <w:kern w:val="0"/>
                <w:szCs w:val="21"/>
              </w:rPr>
              <w:t>个</w:t>
            </w:r>
          </w:p>
        </w:tc>
        <w:tc>
          <w:tcPr>
            <w:tcW w:w="1440" w:type="dxa"/>
            <w:tcBorders>
              <w:top w:val="nil"/>
              <w:left w:val="nil"/>
              <w:bottom w:val="single" w:color="auto" w:sz="4" w:space="0"/>
              <w:right w:val="single" w:color="auto" w:sz="4" w:space="0"/>
            </w:tcBorders>
            <w:vAlign w:val="center"/>
          </w:tcPr>
          <w:p>
            <w:pPr>
              <w:widowControl/>
              <w:spacing w:line="560" w:lineRule="exact"/>
              <w:rPr>
                <w:rFonts w:ascii="方正仿宋_GB2312" w:hAnsi="方正仿宋_GB2312" w:eastAsia="方正仿宋_GB2312" w:cs="方正仿宋_GB2312"/>
                <w:color w:val="000000"/>
                <w:kern w:val="0"/>
                <w:szCs w:val="21"/>
              </w:rPr>
            </w:pPr>
            <w:r>
              <w:rPr>
                <w:rFonts w:ascii="方正仿宋_GB2312" w:hAnsi="方正仿宋_GB2312" w:eastAsia="方正仿宋_GB2312" w:cs="方正仿宋_GB2312"/>
                <w:color w:val="000000"/>
                <w:kern w:val="0"/>
                <w:szCs w:val="21"/>
              </w:rPr>
              <w:t>10-15</w:t>
            </w:r>
            <w:r>
              <w:rPr>
                <w:rFonts w:hint="eastAsia" w:ascii="方正仿宋_GB2312" w:hAnsi="方正仿宋_GB2312" w:eastAsia="方正仿宋_GB2312" w:cs="方正仿宋_GB2312"/>
                <w:color w:val="000000"/>
                <w:kern w:val="0"/>
                <w:szCs w:val="21"/>
              </w:rPr>
              <w:t>个　</w:t>
            </w:r>
          </w:p>
        </w:tc>
        <w:tc>
          <w:tcPr>
            <w:tcW w:w="900" w:type="dxa"/>
            <w:tcBorders>
              <w:top w:val="nil"/>
              <w:left w:val="nil"/>
              <w:bottom w:val="single" w:color="auto" w:sz="4" w:space="0"/>
              <w:right w:val="single" w:color="auto" w:sz="4" w:space="0"/>
            </w:tcBorders>
            <w:vAlign w:val="center"/>
          </w:tcPr>
          <w:p>
            <w:pPr>
              <w:widowControl/>
              <w:spacing w:line="560" w:lineRule="exact"/>
              <w:rPr>
                <w:rFonts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约束性</w:t>
            </w:r>
          </w:p>
        </w:tc>
        <w:tc>
          <w:tcPr>
            <w:tcW w:w="1656" w:type="dxa"/>
            <w:tcBorders>
              <w:top w:val="nil"/>
              <w:left w:val="nil"/>
              <w:bottom w:val="single" w:color="auto" w:sz="4" w:space="0"/>
              <w:right w:val="single" w:color="auto" w:sz="4" w:space="0"/>
            </w:tcBorders>
            <w:vAlign w:val="center"/>
          </w:tcPr>
          <w:p>
            <w:pPr>
              <w:widowControl/>
              <w:spacing w:line="560" w:lineRule="exact"/>
              <w:rPr>
                <w:rFonts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唐君、王永春</w:t>
            </w:r>
          </w:p>
        </w:tc>
      </w:tr>
      <w:tr>
        <w:tblPrEx>
          <w:tblCellMar>
            <w:top w:w="0" w:type="dxa"/>
            <w:left w:w="108" w:type="dxa"/>
            <w:bottom w:w="0" w:type="dxa"/>
            <w:right w:w="108" w:type="dxa"/>
          </w:tblCellMar>
        </w:tblPrEx>
        <w:trPr>
          <w:trHeight w:val="397" w:hRule="atLeast"/>
        </w:trPr>
        <w:tc>
          <w:tcPr>
            <w:tcW w:w="460" w:type="dxa"/>
            <w:tcBorders>
              <w:top w:val="nil"/>
              <w:left w:val="single" w:color="auto" w:sz="4" w:space="0"/>
              <w:bottom w:val="single" w:color="auto" w:sz="4" w:space="0"/>
              <w:right w:val="single" w:color="auto" w:sz="4" w:space="0"/>
            </w:tcBorders>
            <w:vAlign w:val="center"/>
          </w:tcPr>
          <w:p>
            <w:pPr>
              <w:widowControl/>
              <w:spacing w:line="560" w:lineRule="exact"/>
              <w:jc w:val="center"/>
              <w:rPr>
                <w:rFonts w:ascii="方正仿宋_GB2312" w:hAnsi="方正仿宋_GB2312" w:eastAsia="方正仿宋_GB2312" w:cs="方正仿宋_GB2312"/>
                <w:color w:val="000000"/>
                <w:kern w:val="0"/>
                <w:szCs w:val="21"/>
              </w:rPr>
            </w:pPr>
            <w:r>
              <w:rPr>
                <w:rFonts w:ascii="方正仿宋_GB2312" w:hAnsi="方正仿宋_GB2312" w:eastAsia="方正仿宋_GB2312" w:cs="方正仿宋_GB2312"/>
                <w:color w:val="000000"/>
                <w:kern w:val="0"/>
                <w:szCs w:val="21"/>
              </w:rPr>
              <w:t>2</w:t>
            </w:r>
          </w:p>
        </w:tc>
        <w:tc>
          <w:tcPr>
            <w:tcW w:w="811" w:type="dxa"/>
            <w:vMerge w:val="continue"/>
            <w:tcBorders>
              <w:left w:val="single" w:color="auto" w:sz="4" w:space="0"/>
              <w:right w:val="single" w:color="auto" w:sz="4" w:space="0"/>
            </w:tcBorders>
            <w:vAlign w:val="center"/>
          </w:tcPr>
          <w:p>
            <w:pPr>
              <w:widowControl/>
              <w:spacing w:line="560" w:lineRule="exact"/>
              <w:rPr>
                <w:rFonts w:ascii="方正仿宋_GB2312" w:hAnsi="方正仿宋_GB2312" w:eastAsia="方正仿宋_GB2312" w:cs="方正仿宋_GB2312"/>
                <w:color w:val="000000"/>
                <w:kern w:val="0"/>
                <w:szCs w:val="21"/>
              </w:rPr>
            </w:pPr>
          </w:p>
        </w:tc>
        <w:tc>
          <w:tcPr>
            <w:tcW w:w="2077" w:type="dxa"/>
            <w:tcBorders>
              <w:top w:val="nil"/>
              <w:left w:val="nil"/>
              <w:bottom w:val="single" w:color="auto" w:sz="4" w:space="0"/>
              <w:right w:val="single" w:color="auto" w:sz="4" w:space="0"/>
            </w:tcBorders>
            <w:vAlign w:val="center"/>
          </w:tcPr>
          <w:p>
            <w:pPr>
              <w:widowControl/>
              <w:spacing w:line="560" w:lineRule="exact"/>
              <w:rPr>
                <w:rFonts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省外教学中心</w:t>
            </w:r>
          </w:p>
        </w:tc>
        <w:tc>
          <w:tcPr>
            <w:tcW w:w="1440" w:type="dxa"/>
            <w:tcBorders>
              <w:top w:val="nil"/>
              <w:left w:val="nil"/>
              <w:bottom w:val="single" w:color="auto" w:sz="4" w:space="0"/>
              <w:right w:val="single" w:color="auto" w:sz="4" w:space="0"/>
            </w:tcBorders>
            <w:vAlign w:val="center"/>
          </w:tcPr>
          <w:p>
            <w:pPr>
              <w:widowControl/>
              <w:spacing w:line="560" w:lineRule="exact"/>
              <w:rPr>
                <w:rFonts w:ascii="方正仿宋_GB2312" w:hAnsi="方正仿宋_GB2312" w:eastAsia="方正仿宋_GB2312" w:cs="方正仿宋_GB2312"/>
                <w:color w:val="000000"/>
                <w:kern w:val="0"/>
                <w:szCs w:val="21"/>
              </w:rPr>
            </w:pPr>
            <w:r>
              <w:rPr>
                <w:rFonts w:ascii="方正仿宋_GB2312" w:hAnsi="方正仿宋_GB2312" w:eastAsia="方正仿宋_GB2312" w:cs="方正仿宋_GB2312"/>
                <w:color w:val="000000"/>
                <w:kern w:val="0"/>
                <w:szCs w:val="21"/>
              </w:rPr>
              <w:t>0</w:t>
            </w:r>
            <w:r>
              <w:rPr>
                <w:rFonts w:hint="eastAsia" w:ascii="方正仿宋_GB2312" w:hAnsi="方正仿宋_GB2312" w:eastAsia="方正仿宋_GB2312" w:cs="方正仿宋_GB2312"/>
                <w:color w:val="000000"/>
                <w:kern w:val="0"/>
                <w:szCs w:val="21"/>
              </w:rPr>
              <w:t>个</w:t>
            </w:r>
          </w:p>
        </w:tc>
        <w:tc>
          <w:tcPr>
            <w:tcW w:w="1440" w:type="dxa"/>
            <w:tcBorders>
              <w:top w:val="nil"/>
              <w:left w:val="nil"/>
              <w:bottom w:val="single" w:color="auto" w:sz="4" w:space="0"/>
              <w:right w:val="single" w:color="auto" w:sz="4" w:space="0"/>
            </w:tcBorders>
            <w:vAlign w:val="center"/>
          </w:tcPr>
          <w:p>
            <w:pPr>
              <w:widowControl/>
              <w:spacing w:line="560" w:lineRule="exact"/>
              <w:rPr>
                <w:rFonts w:ascii="方正仿宋_GB2312" w:hAnsi="方正仿宋_GB2312" w:eastAsia="方正仿宋_GB2312" w:cs="方正仿宋_GB2312"/>
                <w:color w:val="000000"/>
                <w:kern w:val="0"/>
                <w:szCs w:val="21"/>
              </w:rPr>
            </w:pPr>
            <w:r>
              <w:rPr>
                <w:rFonts w:ascii="方正仿宋_GB2312" w:hAnsi="方正仿宋_GB2312" w:eastAsia="方正仿宋_GB2312" w:cs="方正仿宋_GB2312"/>
                <w:color w:val="000000"/>
                <w:kern w:val="0"/>
                <w:szCs w:val="21"/>
              </w:rPr>
              <w:t>2-3</w:t>
            </w:r>
            <w:r>
              <w:rPr>
                <w:rFonts w:hint="eastAsia" w:ascii="方正仿宋_GB2312" w:hAnsi="方正仿宋_GB2312" w:eastAsia="方正仿宋_GB2312" w:cs="方正仿宋_GB2312"/>
                <w:color w:val="000000"/>
                <w:kern w:val="0"/>
                <w:szCs w:val="21"/>
              </w:rPr>
              <w:t>个</w:t>
            </w:r>
          </w:p>
        </w:tc>
        <w:tc>
          <w:tcPr>
            <w:tcW w:w="900" w:type="dxa"/>
            <w:tcBorders>
              <w:top w:val="nil"/>
              <w:left w:val="nil"/>
              <w:bottom w:val="single" w:color="auto" w:sz="4" w:space="0"/>
              <w:right w:val="single" w:color="auto" w:sz="4" w:space="0"/>
            </w:tcBorders>
            <w:vAlign w:val="center"/>
          </w:tcPr>
          <w:p>
            <w:pPr>
              <w:widowControl/>
              <w:spacing w:line="560" w:lineRule="exact"/>
              <w:rPr>
                <w:rFonts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约束性</w:t>
            </w:r>
          </w:p>
        </w:tc>
        <w:tc>
          <w:tcPr>
            <w:tcW w:w="1656" w:type="dxa"/>
            <w:tcBorders>
              <w:top w:val="nil"/>
              <w:left w:val="nil"/>
              <w:bottom w:val="single" w:color="auto" w:sz="4" w:space="0"/>
              <w:right w:val="single" w:color="auto" w:sz="4" w:space="0"/>
            </w:tcBorders>
            <w:vAlign w:val="center"/>
          </w:tcPr>
          <w:p>
            <w:pPr>
              <w:widowControl/>
              <w:spacing w:line="560" w:lineRule="exact"/>
              <w:rPr>
                <w:rFonts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唐君、王永春</w:t>
            </w:r>
          </w:p>
        </w:tc>
      </w:tr>
      <w:tr>
        <w:tblPrEx>
          <w:tblCellMar>
            <w:top w:w="0" w:type="dxa"/>
            <w:left w:w="108" w:type="dxa"/>
            <w:bottom w:w="0" w:type="dxa"/>
            <w:right w:w="108" w:type="dxa"/>
          </w:tblCellMar>
        </w:tblPrEx>
        <w:trPr>
          <w:trHeight w:val="397" w:hRule="atLeast"/>
        </w:trPr>
        <w:tc>
          <w:tcPr>
            <w:tcW w:w="460" w:type="dxa"/>
            <w:tcBorders>
              <w:top w:val="nil"/>
              <w:left w:val="single" w:color="auto" w:sz="4" w:space="0"/>
              <w:bottom w:val="single" w:color="auto" w:sz="4" w:space="0"/>
              <w:right w:val="single" w:color="auto" w:sz="4" w:space="0"/>
            </w:tcBorders>
            <w:vAlign w:val="center"/>
          </w:tcPr>
          <w:p>
            <w:pPr>
              <w:widowControl/>
              <w:spacing w:line="560" w:lineRule="exact"/>
              <w:jc w:val="center"/>
              <w:rPr>
                <w:rFonts w:ascii="方正仿宋_GB2312" w:hAnsi="方正仿宋_GB2312" w:eastAsia="方正仿宋_GB2312" w:cs="方正仿宋_GB2312"/>
                <w:color w:val="000000"/>
                <w:kern w:val="0"/>
                <w:szCs w:val="21"/>
              </w:rPr>
            </w:pPr>
            <w:r>
              <w:rPr>
                <w:rFonts w:ascii="方正仿宋_GB2312" w:hAnsi="方正仿宋_GB2312" w:eastAsia="方正仿宋_GB2312" w:cs="方正仿宋_GB2312"/>
                <w:color w:val="000000"/>
                <w:kern w:val="0"/>
                <w:szCs w:val="21"/>
              </w:rPr>
              <w:t>3</w:t>
            </w:r>
          </w:p>
        </w:tc>
        <w:tc>
          <w:tcPr>
            <w:tcW w:w="811" w:type="dxa"/>
            <w:vMerge w:val="continue"/>
            <w:tcBorders>
              <w:left w:val="single" w:color="auto" w:sz="4" w:space="0"/>
              <w:right w:val="single" w:color="auto" w:sz="4" w:space="0"/>
            </w:tcBorders>
            <w:vAlign w:val="center"/>
          </w:tcPr>
          <w:p>
            <w:pPr>
              <w:widowControl/>
              <w:spacing w:line="560" w:lineRule="exact"/>
              <w:rPr>
                <w:rFonts w:ascii="方正仿宋_GB2312" w:hAnsi="方正仿宋_GB2312" w:eastAsia="方正仿宋_GB2312" w:cs="方正仿宋_GB2312"/>
                <w:color w:val="000000"/>
                <w:kern w:val="0"/>
                <w:szCs w:val="21"/>
              </w:rPr>
            </w:pPr>
          </w:p>
        </w:tc>
        <w:tc>
          <w:tcPr>
            <w:tcW w:w="2077" w:type="dxa"/>
            <w:tcBorders>
              <w:top w:val="nil"/>
              <w:left w:val="nil"/>
              <w:bottom w:val="single" w:color="auto" w:sz="4" w:space="0"/>
              <w:right w:val="single" w:color="auto" w:sz="4" w:space="0"/>
            </w:tcBorders>
            <w:vAlign w:val="center"/>
          </w:tcPr>
          <w:p>
            <w:pPr>
              <w:widowControl/>
              <w:spacing w:line="560" w:lineRule="exact"/>
              <w:rPr>
                <w:rFonts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成人教育在籍学生</w:t>
            </w:r>
          </w:p>
        </w:tc>
        <w:tc>
          <w:tcPr>
            <w:tcW w:w="1440" w:type="dxa"/>
            <w:tcBorders>
              <w:top w:val="nil"/>
              <w:left w:val="nil"/>
              <w:bottom w:val="single" w:color="auto" w:sz="4" w:space="0"/>
              <w:right w:val="single" w:color="auto" w:sz="4" w:space="0"/>
            </w:tcBorders>
            <w:vAlign w:val="center"/>
          </w:tcPr>
          <w:p>
            <w:pPr>
              <w:widowControl/>
              <w:spacing w:line="560" w:lineRule="exact"/>
              <w:rPr>
                <w:rFonts w:ascii="方正仿宋_GB2312" w:hAnsi="方正仿宋_GB2312" w:eastAsia="方正仿宋_GB2312" w:cs="方正仿宋_GB2312"/>
                <w:color w:val="000000"/>
                <w:kern w:val="0"/>
                <w:szCs w:val="21"/>
              </w:rPr>
            </w:pPr>
            <w:r>
              <w:rPr>
                <w:rFonts w:ascii="方正仿宋_GB2312" w:hAnsi="方正仿宋_GB2312" w:eastAsia="方正仿宋_GB2312" w:cs="方正仿宋_GB2312"/>
                <w:color w:val="000000"/>
                <w:kern w:val="0"/>
                <w:szCs w:val="21"/>
              </w:rPr>
              <w:t>4000</w:t>
            </w:r>
            <w:r>
              <w:rPr>
                <w:rFonts w:hint="eastAsia" w:ascii="方正仿宋_GB2312" w:hAnsi="方正仿宋_GB2312" w:eastAsia="方正仿宋_GB2312" w:cs="方正仿宋_GB2312"/>
                <w:color w:val="000000"/>
                <w:kern w:val="0"/>
                <w:szCs w:val="21"/>
              </w:rPr>
              <w:t>人</w:t>
            </w:r>
          </w:p>
        </w:tc>
        <w:tc>
          <w:tcPr>
            <w:tcW w:w="1440" w:type="dxa"/>
            <w:tcBorders>
              <w:top w:val="nil"/>
              <w:left w:val="nil"/>
              <w:bottom w:val="single" w:color="auto" w:sz="4" w:space="0"/>
              <w:right w:val="single" w:color="auto" w:sz="4" w:space="0"/>
            </w:tcBorders>
            <w:vAlign w:val="center"/>
          </w:tcPr>
          <w:p>
            <w:pPr>
              <w:widowControl/>
              <w:spacing w:line="560" w:lineRule="exact"/>
              <w:rPr>
                <w:rFonts w:ascii="方正仿宋_GB2312" w:hAnsi="方正仿宋_GB2312" w:eastAsia="方正仿宋_GB2312" w:cs="方正仿宋_GB2312"/>
                <w:color w:val="000000"/>
                <w:kern w:val="0"/>
                <w:szCs w:val="21"/>
              </w:rPr>
            </w:pPr>
            <w:r>
              <w:rPr>
                <w:rFonts w:ascii="方正仿宋_GB2312" w:hAnsi="方正仿宋_GB2312" w:eastAsia="方正仿宋_GB2312" w:cs="方正仿宋_GB2312"/>
                <w:color w:val="000000"/>
                <w:kern w:val="0"/>
                <w:szCs w:val="21"/>
              </w:rPr>
              <w:t>15000</w:t>
            </w:r>
            <w:r>
              <w:rPr>
                <w:rFonts w:hint="eastAsia" w:ascii="方正仿宋_GB2312" w:hAnsi="方正仿宋_GB2312" w:eastAsia="方正仿宋_GB2312" w:cs="方正仿宋_GB2312"/>
                <w:color w:val="000000"/>
                <w:kern w:val="0"/>
                <w:szCs w:val="21"/>
              </w:rPr>
              <w:t>人</w:t>
            </w:r>
          </w:p>
        </w:tc>
        <w:tc>
          <w:tcPr>
            <w:tcW w:w="900" w:type="dxa"/>
            <w:tcBorders>
              <w:top w:val="nil"/>
              <w:left w:val="nil"/>
              <w:bottom w:val="single" w:color="auto" w:sz="4" w:space="0"/>
              <w:right w:val="single" w:color="auto" w:sz="4" w:space="0"/>
            </w:tcBorders>
            <w:vAlign w:val="center"/>
          </w:tcPr>
          <w:p>
            <w:pPr>
              <w:widowControl/>
              <w:spacing w:line="560" w:lineRule="exact"/>
              <w:rPr>
                <w:rFonts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预期性</w:t>
            </w:r>
          </w:p>
        </w:tc>
        <w:tc>
          <w:tcPr>
            <w:tcW w:w="1656" w:type="dxa"/>
            <w:tcBorders>
              <w:top w:val="nil"/>
              <w:left w:val="nil"/>
              <w:bottom w:val="single" w:color="auto" w:sz="4" w:space="0"/>
              <w:right w:val="single" w:color="auto" w:sz="4" w:space="0"/>
            </w:tcBorders>
            <w:vAlign w:val="center"/>
          </w:tcPr>
          <w:p>
            <w:pPr>
              <w:widowControl/>
              <w:spacing w:line="560" w:lineRule="exact"/>
              <w:rPr>
                <w:rFonts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唐君、王永春</w:t>
            </w:r>
          </w:p>
        </w:tc>
      </w:tr>
      <w:tr>
        <w:tblPrEx>
          <w:tblCellMar>
            <w:top w:w="0" w:type="dxa"/>
            <w:left w:w="108" w:type="dxa"/>
            <w:bottom w:w="0" w:type="dxa"/>
            <w:right w:w="108" w:type="dxa"/>
          </w:tblCellMar>
        </w:tblPrEx>
        <w:trPr>
          <w:trHeight w:val="397" w:hRule="atLeast"/>
        </w:trPr>
        <w:tc>
          <w:tcPr>
            <w:tcW w:w="460" w:type="dxa"/>
            <w:tcBorders>
              <w:top w:val="nil"/>
              <w:left w:val="single" w:color="auto" w:sz="4" w:space="0"/>
              <w:bottom w:val="single" w:color="auto" w:sz="4" w:space="0"/>
              <w:right w:val="single" w:color="auto" w:sz="4" w:space="0"/>
            </w:tcBorders>
            <w:vAlign w:val="center"/>
          </w:tcPr>
          <w:p>
            <w:pPr>
              <w:widowControl/>
              <w:spacing w:line="560" w:lineRule="exact"/>
              <w:jc w:val="center"/>
              <w:rPr>
                <w:rFonts w:ascii="方正仿宋_GB2312" w:hAnsi="方正仿宋_GB2312" w:eastAsia="方正仿宋_GB2312" w:cs="方正仿宋_GB2312"/>
                <w:color w:val="000000"/>
                <w:kern w:val="0"/>
                <w:szCs w:val="21"/>
              </w:rPr>
            </w:pPr>
            <w:r>
              <w:rPr>
                <w:rFonts w:ascii="方正仿宋_GB2312" w:hAnsi="方正仿宋_GB2312" w:eastAsia="方正仿宋_GB2312" w:cs="方正仿宋_GB2312"/>
                <w:color w:val="000000"/>
                <w:kern w:val="0"/>
                <w:szCs w:val="21"/>
              </w:rPr>
              <w:t>4</w:t>
            </w:r>
          </w:p>
        </w:tc>
        <w:tc>
          <w:tcPr>
            <w:tcW w:w="811" w:type="dxa"/>
            <w:vMerge w:val="continue"/>
            <w:tcBorders>
              <w:left w:val="single" w:color="auto" w:sz="4" w:space="0"/>
              <w:right w:val="single" w:color="auto" w:sz="4" w:space="0"/>
            </w:tcBorders>
            <w:vAlign w:val="center"/>
          </w:tcPr>
          <w:p>
            <w:pPr>
              <w:widowControl/>
              <w:spacing w:line="560" w:lineRule="exact"/>
              <w:rPr>
                <w:rFonts w:ascii="方正仿宋_GB2312" w:hAnsi="方正仿宋_GB2312" w:eastAsia="方正仿宋_GB2312" w:cs="方正仿宋_GB2312"/>
                <w:color w:val="000000"/>
                <w:kern w:val="0"/>
                <w:szCs w:val="21"/>
              </w:rPr>
            </w:pPr>
          </w:p>
        </w:tc>
        <w:tc>
          <w:tcPr>
            <w:tcW w:w="2077" w:type="dxa"/>
            <w:tcBorders>
              <w:top w:val="nil"/>
              <w:left w:val="nil"/>
              <w:bottom w:val="single" w:color="auto" w:sz="4" w:space="0"/>
              <w:right w:val="single" w:color="auto" w:sz="4" w:space="0"/>
            </w:tcBorders>
            <w:vAlign w:val="center"/>
          </w:tcPr>
          <w:p>
            <w:pPr>
              <w:widowControl/>
              <w:spacing w:line="560" w:lineRule="exact"/>
              <w:rPr>
                <w:rFonts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自考本科专业</w:t>
            </w:r>
          </w:p>
        </w:tc>
        <w:tc>
          <w:tcPr>
            <w:tcW w:w="1440" w:type="dxa"/>
            <w:tcBorders>
              <w:top w:val="nil"/>
              <w:left w:val="nil"/>
              <w:bottom w:val="single" w:color="auto" w:sz="4" w:space="0"/>
              <w:right w:val="single" w:color="auto" w:sz="4" w:space="0"/>
            </w:tcBorders>
            <w:vAlign w:val="center"/>
          </w:tcPr>
          <w:p>
            <w:pPr>
              <w:widowControl/>
              <w:spacing w:line="560" w:lineRule="exact"/>
              <w:rPr>
                <w:rFonts w:ascii="方正仿宋_GB2312" w:hAnsi="方正仿宋_GB2312" w:eastAsia="方正仿宋_GB2312" w:cs="方正仿宋_GB2312"/>
                <w:color w:val="000000"/>
                <w:kern w:val="0"/>
                <w:szCs w:val="21"/>
              </w:rPr>
            </w:pPr>
            <w:r>
              <w:rPr>
                <w:rFonts w:ascii="方正仿宋_GB2312" w:hAnsi="方正仿宋_GB2312" w:eastAsia="方正仿宋_GB2312" w:cs="方正仿宋_GB2312"/>
                <w:color w:val="000000"/>
                <w:kern w:val="0"/>
                <w:szCs w:val="21"/>
              </w:rPr>
              <w:t>0</w:t>
            </w:r>
            <w:r>
              <w:rPr>
                <w:rFonts w:hint="eastAsia" w:ascii="方正仿宋_GB2312" w:hAnsi="方正仿宋_GB2312" w:eastAsia="方正仿宋_GB2312" w:cs="方正仿宋_GB2312"/>
                <w:color w:val="000000"/>
                <w:kern w:val="0"/>
                <w:szCs w:val="21"/>
              </w:rPr>
              <w:t>个</w:t>
            </w:r>
          </w:p>
        </w:tc>
        <w:tc>
          <w:tcPr>
            <w:tcW w:w="1440" w:type="dxa"/>
            <w:tcBorders>
              <w:top w:val="nil"/>
              <w:left w:val="nil"/>
              <w:bottom w:val="single" w:color="auto" w:sz="4" w:space="0"/>
              <w:right w:val="single" w:color="auto" w:sz="4" w:space="0"/>
            </w:tcBorders>
            <w:vAlign w:val="center"/>
          </w:tcPr>
          <w:p>
            <w:pPr>
              <w:widowControl/>
              <w:spacing w:line="560" w:lineRule="exact"/>
              <w:rPr>
                <w:rFonts w:ascii="方正仿宋_GB2312" w:hAnsi="方正仿宋_GB2312" w:eastAsia="方正仿宋_GB2312" w:cs="方正仿宋_GB2312"/>
                <w:color w:val="000000"/>
                <w:kern w:val="0"/>
                <w:szCs w:val="21"/>
              </w:rPr>
            </w:pPr>
            <w:r>
              <w:rPr>
                <w:rFonts w:ascii="方正仿宋_GB2312" w:hAnsi="方正仿宋_GB2312" w:eastAsia="方正仿宋_GB2312" w:cs="方正仿宋_GB2312"/>
                <w:color w:val="000000"/>
                <w:kern w:val="0"/>
                <w:szCs w:val="21"/>
              </w:rPr>
              <w:t>3-5</w:t>
            </w:r>
            <w:r>
              <w:rPr>
                <w:rFonts w:hint="eastAsia" w:ascii="方正仿宋_GB2312" w:hAnsi="方正仿宋_GB2312" w:eastAsia="方正仿宋_GB2312" w:cs="方正仿宋_GB2312"/>
                <w:color w:val="000000"/>
                <w:kern w:val="0"/>
                <w:szCs w:val="21"/>
              </w:rPr>
              <w:t>个</w:t>
            </w:r>
          </w:p>
        </w:tc>
        <w:tc>
          <w:tcPr>
            <w:tcW w:w="900" w:type="dxa"/>
            <w:tcBorders>
              <w:top w:val="nil"/>
              <w:left w:val="nil"/>
              <w:bottom w:val="single" w:color="auto" w:sz="4" w:space="0"/>
              <w:right w:val="single" w:color="auto" w:sz="4" w:space="0"/>
            </w:tcBorders>
            <w:vAlign w:val="center"/>
          </w:tcPr>
          <w:p>
            <w:pPr>
              <w:widowControl/>
              <w:spacing w:line="560" w:lineRule="exact"/>
              <w:rPr>
                <w:rFonts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约束性</w:t>
            </w:r>
          </w:p>
        </w:tc>
        <w:tc>
          <w:tcPr>
            <w:tcW w:w="1656" w:type="dxa"/>
            <w:tcBorders>
              <w:top w:val="nil"/>
              <w:left w:val="nil"/>
              <w:bottom w:val="single" w:color="auto" w:sz="4" w:space="0"/>
              <w:right w:val="single" w:color="auto" w:sz="4" w:space="0"/>
            </w:tcBorders>
            <w:vAlign w:val="center"/>
          </w:tcPr>
          <w:p>
            <w:pPr>
              <w:widowControl/>
              <w:spacing w:line="560" w:lineRule="exact"/>
              <w:rPr>
                <w:rFonts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唐君、王永春</w:t>
            </w:r>
          </w:p>
        </w:tc>
      </w:tr>
      <w:tr>
        <w:tblPrEx>
          <w:tblCellMar>
            <w:top w:w="0" w:type="dxa"/>
            <w:left w:w="108" w:type="dxa"/>
            <w:bottom w:w="0" w:type="dxa"/>
            <w:right w:w="108" w:type="dxa"/>
          </w:tblCellMar>
        </w:tblPrEx>
        <w:trPr>
          <w:trHeight w:val="397" w:hRule="atLeast"/>
        </w:trPr>
        <w:tc>
          <w:tcPr>
            <w:tcW w:w="460" w:type="dxa"/>
            <w:tcBorders>
              <w:top w:val="nil"/>
              <w:left w:val="single" w:color="auto" w:sz="4" w:space="0"/>
              <w:bottom w:val="single" w:color="auto" w:sz="4" w:space="0"/>
              <w:right w:val="single" w:color="auto" w:sz="4" w:space="0"/>
            </w:tcBorders>
            <w:vAlign w:val="center"/>
          </w:tcPr>
          <w:p>
            <w:pPr>
              <w:widowControl/>
              <w:spacing w:line="560" w:lineRule="exact"/>
              <w:jc w:val="center"/>
              <w:rPr>
                <w:rFonts w:ascii="方正仿宋_GB2312" w:hAnsi="方正仿宋_GB2312" w:eastAsia="方正仿宋_GB2312" w:cs="方正仿宋_GB2312"/>
                <w:color w:val="000000"/>
                <w:kern w:val="0"/>
                <w:szCs w:val="21"/>
              </w:rPr>
            </w:pPr>
            <w:r>
              <w:rPr>
                <w:rFonts w:ascii="方正仿宋_GB2312" w:hAnsi="方正仿宋_GB2312" w:eastAsia="方正仿宋_GB2312" w:cs="方正仿宋_GB2312"/>
                <w:color w:val="000000"/>
                <w:kern w:val="0"/>
                <w:szCs w:val="21"/>
              </w:rPr>
              <w:t>5</w:t>
            </w:r>
          </w:p>
        </w:tc>
        <w:tc>
          <w:tcPr>
            <w:tcW w:w="811" w:type="dxa"/>
            <w:vMerge w:val="continue"/>
            <w:tcBorders>
              <w:left w:val="single" w:color="auto" w:sz="4" w:space="0"/>
              <w:right w:val="single" w:color="auto" w:sz="4" w:space="0"/>
            </w:tcBorders>
            <w:vAlign w:val="center"/>
          </w:tcPr>
          <w:p>
            <w:pPr>
              <w:widowControl/>
              <w:spacing w:line="560" w:lineRule="exact"/>
              <w:rPr>
                <w:rFonts w:ascii="方正仿宋_GB2312" w:hAnsi="方正仿宋_GB2312" w:eastAsia="方正仿宋_GB2312" w:cs="方正仿宋_GB2312"/>
                <w:color w:val="000000"/>
                <w:kern w:val="0"/>
                <w:szCs w:val="21"/>
              </w:rPr>
            </w:pPr>
          </w:p>
        </w:tc>
        <w:tc>
          <w:tcPr>
            <w:tcW w:w="2077" w:type="dxa"/>
            <w:tcBorders>
              <w:top w:val="nil"/>
              <w:left w:val="nil"/>
              <w:bottom w:val="single" w:color="auto" w:sz="4" w:space="0"/>
              <w:right w:val="single" w:color="auto" w:sz="4" w:space="0"/>
            </w:tcBorders>
            <w:vAlign w:val="center"/>
          </w:tcPr>
          <w:p>
            <w:pPr>
              <w:widowControl/>
              <w:spacing w:line="560" w:lineRule="exact"/>
              <w:rPr>
                <w:rFonts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自学考试在籍学生</w:t>
            </w:r>
          </w:p>
        </w:tc>
        <w:tc>
          <w:tcPr>
            <w:tcW w:w="1440" w:type="dxa"/>
            <w:tcBorders>
              <w:top w:val="nil"/>
              <w:left w:val="nil"/>
              <w:bottom w:val="single" w:color="auto" w:sz="4" w:space="0"/>
              <w:right w:val="single" w:color="auto" w:sz="4" w:space="0"/>
            </w:tcBorders>
            <w:vAlign w:val="center"/>
          </w:tcPr>
          <w:p>
            <w:pPr>
              <w:widowControl/>
              <w:spacing w:line="560" w:lineRule="exact"/>
              <w:rPr>
                <w:rFonts w:ascii="方正仿宋_GB2312" w:hAnsi="方正仿宋_GB2312" w:eastAsia="方正仿宋_GB2312" w:cs="方正仿宋_GB2312"/>
                <w:color w:val="000000"/>
                <w:kern w:val="0"/>
                <w:szCs w:val="21"/>
              </w:rPr>
            </w:pPr>
            <w:r>
              <w:rPr>
                <w:rFonts w:ascii="方正仿宋_GB2312" w:hAnsi="方正仿宋_GB2312" w:eastAsia="方正仿宋_GB2312" w:cs="方正仿宋_GB2312"/>
                <w:color w:val="000000"/>
                <w:kern w:val="0"/>
                <w:szCs w:val="21"/>
              </w:rPr>
              <w:t>0</w:t>
            </w:r>
            <w:r>
              <w:rPr>
                <w:rFonts w:hint="eastAsia" w:ascii="方正仿宋_GB2312" w:hAnsi="方正仿宋_GB2312" w:eastAsia="方正仿宋_GB2312" w:cs="方正仿宋_GB2312"/>
                <w:color w:val="000000"/>
                <w:kern w:val="0"/>
                <w:szCs w:val="21"/>
              </w:rPr>
              <w:t>人</w:t>
            </w:r>
          </w:p>
        </w:tc>
        <w:tc>
          <w:tcPr>
            <w:tcW w:w="1440" w:type="dxa"/>
            <w:tcBorders>
              <w:top w:val="nil"/>
              <w:left w:val="nil"/>
              <w:bottom w:val="single" w:color="auto" w:sz="4" w:space="0"/>
              <w:right w:val="single" w:color="auto" w:sz="4" w:space="0"/>
            </w:tcBorders>
            <w:vAlign w:val="center"/>
          </w:tcPr>
          <w:p>
            <w:pPr>
              <w:widowControl/>
              <w:spacing w:line="560" w:lineRule="exact"/>
              <w:rPr>
                <w:rFonts w:ascii="方正仿宋_GB2312" w:hAnsi="方正仿宋_GB2312" w:eastAsia="方正仿宋_GB2312" w:cs="方正仿宋_GB2312"/>
                <w:color w:val="000000"/>
                <w:kern w:val="0"/>
                <w:szCs w:val="21"/>
              </w:rPr>
            </w:pPr>
            <w:r>
              <w:rPr>
                <w:rFonts w:ascii="方正仿宋_GB2312" w:hAnsi="方正仿宋_GB2312" w:eastAsia="方正仿宋_GB2312" w:cs="方正仿宋_GB2312"/>
                <w:color w:val="000000"/>
                <w:kern w:val="0"/>
                <w:szCs w:val="21"/>
              </w:rPr>
              <w:t>3000</w:t>
            </w:r>
            <w:r>
              <w:rPr>
                <w:rFonts w:hint="eastAsia" w:ascii="方正仿宋_GB2312" w:hAnsi="方正仿宋_GB2312" w:eastAsia="方正仿宋_GB2312" w:cs="方正仿宋_GB2312"/>
                <w:color w:val="000000"/>
                <w:kern w:val="0"/>
                <w:szCs w:val="21"/>
              </w:rPr>
              <w:t>人</w:t>
            </w:r>
          </w:p>
        </w:tc>
        <w:tc>
          <w:tcPr>
            <w:tcW w:w="900" w:type="dxa"/>
            <w:tcBorders>
              <w:top w:val="nil"/>
              <w:left w:val="nil"/>
              <w:bottom w:val="single" w:color="auto" w:sz="4" w:space="0"/>
              <w:right w:val="single" w:color="auto" w:sz="4" w:space="0"/>
            </w:tcBorders>
            <w:vAlign w:val="center"/>
          </w:tcPr>
          <w:p>
            <w:pPr>
              <w:widowControl/>
              <w:spacing w:line="560" w:lineRule="exact"/>
              <w:rPr>
                <w:rFonts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约束性</w:t>
            </w:r>
          </w:p>
        </w:tc>
        <w:tc>
          <w:tcPr>
            <w:tcW w:w="1656" w:type="dxa"/>
            <w:tcBorders>
              <w:top w:val="nil"/>
              <w:left w:val="nil"/>
              <w:bottom w:val="single" w:color="auto" w:sz="4" w:space="0"/>
              <w:right w:val="single" w:color="auto" w:sz="4" w:space="0"/>
            </w:tcBorders>
            <w:vAlign w:val="center"/>
          </w:tcPr>
          <w:p>
            <w:pPr>
              <w:widowControl/>
              <w:spacing w:line="560" w:lineRule="exact"/>
              <w:rPr>
                <w:rFonts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唐君、王永春</w:t>
            </w:r>
          </w:p>
        </w:tc>
      </w:tr>
      <w:tr>
        <w:tblPrEx>
          <w:tblCellMar>
            <w:top w:w="0" w:type="dxa"/>
            <w:left w:w="108" w:type="dxa"/>
            <w:bottom w:w="0" w:type="dxa"/>
            <w:right w:w="108" w:type="dxa"/>
          </w:tblCellMar>
        </w:tblPrEx>
        <w:trPr>
          <w:trHeight w:val="442" w:hRule="atLeast"/>
        </w:trPr>
        <w:tc>
          <w:tcPr>
            <w:tcW w:w="460" w:type="dxa"/>
            <w:tcBorders>
              <w:top w:val="nil"/>
              <w:left w:val="single" w:color="auto" w:sz="4" w:space="0"/>
              <w:bottom w:val="single" w:color="auto" w:sz="4" w:space="0"/>
              <w:right w:val="single" w:color="auto" w:sz="4" w:space="0"/>
            </w:tcBorders>
            <w:vAlign w:val="center"/>
          </w:tcPr>
          <w:p>
            <w:pPr>
              <w:widowControl/>
              <w:spacing w:line="560" w:lineRule="exact"/>
              <w:jc w:val="center"/>
              <w:rPr>
                <w:rFonts w:ascii="方正仿宋_GB2312" w:hAnsi="方正仿宋_GB2312" w:eastAsia="方正仿宋_GB2312" w:cs="方正仿宋_GB2312"/>
                <w:color w:val="000000"/>
                <w:kern w:val="0"/>
                <w:szCs w:val="21"/>
              </w:rPr>
            </w:pPr>
            <w:r>
              <w:rPr>
                <w:rFonts w:ascii="方正仿宋_GB2312" w:hAnsi="方正仿宋_GB2312" w:eastAsia="方正仿宋_GB2312" w:cs="方正仿宋_GB2312"/>
                <w:color w:val="000000"/>
                <w:kern w:val="0"/>
                <w:szCs w:val="21"/>
              </w:rPr>
              <w:t>6</w:t>
            </w:r>
          </w:p>
        </w:tc>
        <w:tc>
          <w:tcPr>
            <w:tcW w:w="811" w:type="dxa"/>
            <w:vMerge w:val="continue"/>
            <w:tcBorders>
              <w:left w:val="single" w:color="auto" w:sz="4" w:space="0"/>
              <w:right w:val="single" w:color="auto" w:sz="4" w:space="0"/>
            </w:tcBorders>
            <w:vAlign w:val="center"/>
          </w:tcPr>
          <w:p>
            <w:pPr>
              <w:widowControl/>
              <w:spacing w:line="560" w:lineRule="exact"/>
              <w:rPr>
                <w:rFonts w:ascii="方正仿宋_GB2312" w:hAnsi="方正仿宋_GB2312" w:eastAsia="方正仿宋_GB2312" w:cs="方正仿宋_GB2312"/>
                <w:color w:val="000000"/>
                <w:kern w:val="0"/>
                <w:szCs w:val="21"/>
              </w:rPr>
            </w:pPr>
          </w:p>
        </w:tc>
        <w:tc>
          <w:tcPr>
            <w:tcW w:w="2077" w:type="dxa"/>
            <w:tcBorders>
              <w:top w:val="nil"/>
              <w:left w:val="nil"/>
              <w:bottom w:val="single" w:color="auto" w:sz="4" w:space="0"/>
              <w:right w:val="single" w:color="auto" w:sz="4" w:space="0"/>
            </w:tcBorders>
            <w:vAlign w:val="center"/>
          </w:tcPr>
          <w:p>
            <w:pPr>
              <w:widowControl/>
              <w:adjustRightInd w:val="0"/>
              <w:snapToGrid w:val="0"/>
              <w:rPr>
                <w:rFonts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硕士学历合作办学专业</w:t>
            </w:r>
          </w:p>
        </w:tc>
        <w:tc>
          <w:tcPr>
            <w:tcW w:w="1440" w:type="dxa"/>
            <w:tcBorders>
              <w:top w:val="nil"/>
              <w:left w:val="nil"/>
              <w:bottom w:val="single" w:color="auto" w:sz="4" w:space="0"/>
              <w:right w:val="single" w:color="auto" w:sz="4" w:space="0"/>
            </w:tcBorders>
            <w:vAlign w:val="center"/>
          </w:tcPr>
          <w:p>
            <w:pPr>
              <w:widowControl/>
              <w:adjustRightInd w:val="0"/>
              <w:snapToGrid w:val="0"/>
              <w:rPr>
                <w:rFonts w:ascii="方正仿宋_GB2312" w:hAnsi="方正仿宋_GB2312" w:eastAsia="方正仿宋_GB2312" w:cs="方正仿宋_GB2312"/>
                <w:color w:val="000000"/>
                <w:kern w:val="0"/>
                <w:szCs w:val="21"/>
              </w:rPr>
            </w:pPr>
            <w:r>
              <w:rPr>
                <w:rFonts w:ascii="方正仿宋_GB2312" w:hAnsi="方正仿宋_GB2312" w:eastAsia="方正仿宋_GB2312" w:cs="方正仿宋_GB2312"/>
                <w:color w:val="000000"/>
                <w:kern w:val="0"/>
                <w:szCs w:val="21"/>
              </w:rPr>
              <w:t>0</w:t>
            </w:r>
            <w:r>
              <w:rPr>
                <w:rFonts w:hint="eastAsia" w:ascii="方正仿宋_GB2312" w:hAnsi="方正仿宋_GB2312" w:eastAsia="方正仿宋_GB2312" w:cs="方正仿宋_GB2312"/>
                <w:color w:val="000000"/>
                <w:kern w:val="0"/>
                <w:szCs w:val="21"/>
              </w:rPr>
              <w:t>个</w:t>
            </w:r>
          </w:p>
        </w:tc>
        <w:tc>
          <w:tcPr>
            <w:tcW w:w="1440" w:type="dxa"/>
            <w:tcBorders>
              <w:top w:val="nil"/>
              <w:left w:val="nil"/>
              <w:bottom w:val="single" w:color="auto" w:sz="4" w:space="0"/>
              <w:right w:val="single" w:color="auto" w:sz="4" w:space="0"/>
            </w:tcBorders>
            <w:vAlign w:val="center"/>
          </w:tcPr>
          <w:p>
            <w:pPr>
              <w:widowControl/>
              <w:adjustRightInd w:val="0"/>
              <w:snapToGrid w:val="0"/>
              <w:rPr>
                <w:rFonts w:ascii="方正仿宋_GB2312" w:hAnsi="方正仿宋_GB2312" w:eastAsia="方正仿宋_GB2312" w:cs="方正仿宋_GB2312"/>
                <w:color w:val="000000"/>
                <w:kern w:val="0"/>
                <w:szCs w:val="21"/>
              </w:rPr>
            </w:pPr>
            <w:r>
              <w:rPr>
                <w:rFonts w:ascii="方正仿宋_GB2312" w:hAnsi="方正仿宋_GB2312" w:eastAsia="方正仿宋_GB2312" w:cs="方正仿宋_GB2312"/>
                <w:color w:val="000000"/>
                <w:kern w:val="0"/>
                <w:szCs w:val="21"/>
              </w:rPr>
              <w:t>2</w:t>
            </w:r>
            <w:r>
              <w:rPr>
                <w:rFonts w:hint="eastAsia" w:ascii="方正仿宋_GB2312" w:hAnsi="方正仿宋_GB2312" w:eastAsia="方正仿宋_GB2312" w:cs="方正仿宋_GB2312"/>
                <w:color w:val="000000"/>
                <w:kern w:val="0"/>
                <w:szCs w:val="21"/>
              </w:rPr>
              <w:t>个以上</w:t>
            </w:r>
          </w:p>
        </w:tc>
        <w:tc>
          <w:tcPr>
            <w:tcW w:w="900" w:type="dxa"/>
            <w:tcBorders>
              <w:top w:val="nil"/>
              <w:left w:val="nil"/>
              <w:bottom w:val="single" w:color="auto" w:sz="4" w:space="0"/>
              <w:right w:val="single" w:color="auto" w:sz="4" w:space="0"/>
            </w:tcBorders>
            <w:vAlign w:val="center"/>
          </w:tcPr>
          <w:p>
            <w:pPr>
              <w:widowControl/>
              <w:adjustRightInd w:val="0"/>
              <w:snapToGrid w:val="0"/>
              <w:rPr>
                <w:rFonts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约束性</w:t>
            </w:r>
          </w:p>
        </w:tc>
        <w:tc>
          <w:tcPr>
            <w:tcW w:w="1656" w:type="dxa"/>
            <w:tcBorders>
              <w:top w:val="nil"/>
              <w:left w:val="nil"/>
              <w:bottom w:val="single" w:color="auto" w:sz="4" w:space="0"/>
              <w:right w:val="single" w:color="auto" w:sz="4" w:space="0"/>
            </w:tcBorders>
            <w:vAlign w:val="center"/>
          </w:tcPr>
          <w:p>
            <w:pPr>
              <w:widowControl/>
              <w:adjustRightInd w:val="0"/>
              <w:snapToGrid w:val="0"/>
              <w:rPr>
                <w:rFonts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唐君、王永春</w:t>
            </w:r>
          </w:p>
        </w:tc>
      </w:tr>
      <w:tr>
        <w:tblPrEx>
          <w:tblCellMar>
            <w:top w:w="0" w:type="dxa"/>
            <w:left w:w="108" w:type="dxa"/>
            <w:bottom w:w="0" w:type="dxa"/>
            <w:right w:w="108" w:type="dxa"/>
          </w:tblCellMar>
        </w:tblPrEx>
        <w:trPr>
          <w:trHeight w:val="633" w:hRule="atLeast"/>
        </w:trPr>
        <w:tc>
          <w:tcPr>
            <w:tcW w:w="460" w:type="dxa"/>
            <w:tcBorders>
              <w:top w:val="nil"/>
              <w:left w:val="single" w:color="auto" w:sz="4" w:space="0"/>
              <w:bottom w:val="single" w:color="auto" w:sz="4" w:space="0"/>
              <w:right w:val="single" w:color="auto" w:sz="4" w:space="0"/>
            </w:tcBorders>
            <w:vAlign w:val="center"/>
          </w:tcPr>
          <w:p>
            <w:pPr>
              <w:widowControl/>
              <w:spacing w:line="560" w:lineRule="exact"/>
              <w:jc w:val="center"/>
              <w:rPr>
                <w:rFonts w:ascii="方正仿宋_GB2312" w:hAnsi="方正仿宋_GB2312" w:eastAsia="方正仿宋_GB2312" w:cs="方正仿宋_GB2312"/>
                <w:color w:val="000000"/>
                <w:kern w:val="0"/>
                <w:szCs w:val="21"/>
              </w:rPr>
            </w:pPr>
            <w:r>
              <w:rPr>
                <w:rFonts w:ascii="方正仿宋_GB2312" w:hAnsi="方正仿宋_GB2312" w:eastAsia="方正仿宋_GB2312" w:cs="方正仿宋_GB2312"/>
                <w:color w:val="000000"/>
                <w:kern w:val="0"/>
                <w:szCs w:val="21"/>
              </w:rPr>
              <w:t>7</w:t>
            </w:r>
          </w:p>
        </w:tc>
        <w:tc>
          <w:tcPr>
            <w:tcW w:w="811" w:type="dxa"/>
            <w:vMerge w:val="continue"/>
            <w:tcBorders>
              <w:left w:val="single" w:color="auto" w:sz="4" w:space="0"/>
              <w:bottom w:val="single" w:color="auto" w:sz="4" w:space="0"/>
              <w:right w:val="single" w:color="auto" w:sz="4" w:space="0"/>
            </w:tcBorders>
            <w:vAlign w:val="center"/>
          </w:tcPr>
          <w:p>
            <w:pPr>
              <w:widowControl/>
              <w:spacing w:line="560" w:lineRule="exact"/>
              <w:rPr>
                <w:rFonts w:ascii="方正仿宋_GB2312" w:hAnsi="方正仿宋_GB2312" w:eastAsia="方正仿宋_GB2312" w:cs="方正仿宋_GB2312"/>
                <w:color w:val="000000"/>
                <w:kern w:val="0"/>
                <w:szCs w:val="21"/>
              </w:rPr>
            </w:pPr>
          </w:p>
        </w:tc>
        <w:tc>
          <w:tcPr>
            <w:tcW w:w="2077" w:type="dxa"/>
            <w:tcBorders>
              <w:top w:val="nil"/>
              <w:left w:val="nil"/>
              <w:bottom w:val="single" w:color="auto" w:sz="4" w:space="0"/>
              <w:right w:val="single" w:color="auto" w:sz="4" w:space="0"/>
            </w:tcBorders>
            <w:vAlign w:val="center"/>
          </w:tcPr>
          <w:p>
            <w:pPr>
              <w:widowControl/>
              <w:adjustRightInd w:val="0"/>
              <w:snapToGrid w:val="0"/>
              <w:rPr>
                <w:rFonts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学历教育年进校经费</w:t>
            </w:r>
          </w:p>
        </w:tc>
        <w:tc>
          <w:tcPr>
            <w:tcW w:w="1440" w:type="dxa"/>
            <w:tcBorders>
              <w:top w:val="nil"/>
              <w:left w:val="nil"/>
              <w:bottom w:val="single" w:color="auto" w:sz="4" w:space="0"/>
              <w:right w:val="single" w:color="auto" w:sz="4" w:space="0"/>
            </w:tcBorders>
            <w:vAlign w:val="center"/>
          </w:tcPr>
          <w:p>
            <w:pPr>
              <w:widowControl/>
              <w:adjustRightInd w:val="0"/>
              <w:snapToGrid w:val="0"/>
              <w:rPr>
                <w:rFonts w:ascii="方正仿宋_GB2312" w:hAnsi="方正仿宋_GB2312" w:eastAsia="方正仿宋_GB2312" w:cs="方正仿宋_GB2312"/>
                <w:color w:val="000000"/>
                <w:kern w:val="0"/>
                <w:szCs w:val="21"/>
              </w:rPr>
            </w:pPr>
            <w:r>
              <w:rPr>
                <w:rFonts w:ascii="方正仿宋_GB2312" w:hAnsi="方正仿宋_GB2312" w:eastAsia="方正仿宋_GB2312" w:cs="方正仿宋_GB2312"/>
                <w:color w:val="000000"/>
                <w:kern w:val="0"/>
                <w:szCs w:val="21"/>
              </w:rPr>
              <w:t>200</w:t>
            </w:r>
            <w:r>
              <w:rPr>
                <w:rFonts w:hint="eastAsia" w:ascii="方正仿宋_GB2312" w:hAnsi="方正仿宋_GB2312" w:eastAsia="方正仿宋_GB2312" w:cs="方正仿宋_GB2312"/>
                <w:color w:val="000000"/>
                <w:kern w:val="0"/>
                <w:szCs w:val="21"/>
              </w:rPr>
              <w:t>万</w:t>
            </w:r>
          </w:p>
        </w:tc>
        <w:tc>
          <w:tcPr>
            <w:tcW w:w="1440" w:type="dxa"/>
            <w:tcBorders>
              <w:top w:val="nil"/>
              <w:left w:val="nil"/>
              <w:bottom w:val="single" w:color="auto" w:sz="4" w:space="0"/>
              <w:right w:val="single" w:color="auto" w:sz="4" w:space="0"/>
            </w:tcBorders>
            <w:vAlign w:val="center"/>
          </w:tcPr>
          <w:p>
            <w:pPr>
              <w:widowControl/>
              <w:adjustRightInd w:val="0"/>
              <w:snapToGrid w:val="0"/>
              <w:rPr>
                <w:rFonts w:ascii="方正仿宋_GB2312" w:hAnsi="方正仿宋_GB2312" w:eastAsia="方正仿宋_GB2312" w:cs="方正仿宋_GB2312"/>
                <w:color w:val="000000"/>
                <w:kern w:val="0"/>
                <w:szCs w:val="21"/>
              </w:rPr>
            </w:pPr>
            <w:r>
              <w:rPr>
                <w:rFonts w:ascii="方正仿宋_GB2312" w:hAnsi="方正仿宋_GB2312" w:eastAsia="方正仿宋_GB2312" w:cs="方正仿宋_GB2312"/>
                <w:color w:val="000000"/>
                <w:kern w:val="0"/>
                <w:szCs w:val="21"/>
              </w:rPr>
              <w:t>800</w:t>
            </w:r>
            <w:r>
              <w:rPr>
                <w:rFonts w:hint="eastAsia" w:ascii="方正仿宋_GB2312" w:hAnsi="方正仿宋_GB2312" w:eastAsia="方正仿宋_GB2312" w:cs="方正仿宋_GB2312"/>
                <w:color w:val="000000"/>
                <w:kern w:val="0"/>
                <w:szCs w:val="21"/>
              </w:rPr>
              <w:t>万以上　</w:t>
            </w:r>
          </w:p>
        </w:tc>
        <w:tc>
          <w:tcPr>
            <w:tcW w:w="900" w:type="dxa"/>
            <w:tcBorders>
              <w:top w:val="nil"/>
              <w:left w:val="nil"/>
              <w:bottom w:val="single" w:color="auto" w:sz="4" w:space="0"/>
              <w:right w:val="single" w:color="auto" w:sz="4" w:space="0"/>
            </w:tcBorders>
            <w:vAlign w:val="center"/>
          </w:tcPr>
          <w:p>
            <w:pPr>
              <w:widowControl/>
              <w:adjustRightInd w:val="0"/>
              <w:snapToGrid w:val="0"/>
              <w:rPr>
                <w:rFonts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预期性</w:t>
            </w:r>
          </w:p>
        </w:tc>
        <w:tc>
          <w:tcPr>
            <w:tcW w:w="1656" w:type="dxa"/>
            <w:tcBorders>
              <w:top w:val="nil"/>
              <w:left w:val="nil"/>
              <w:bottom w:val="single" w:color="auto" w:sz="4" w:space="0"/>
              <w:right w:val="single" w:color="auto" w:sz="4" w:space="0"/>
            </w:tcBorders>
            <w:vAlign w:val="center"/>
          </w:tcPr>
          <w:p>
            <w:pPr>
              <w:widowControl/>
              <w:adjustRightInd w:val="0"/>
              <w:snapToGrid w:val="0"/>
              <w:rPr>
                <w:rFonts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唐君、王永春</w:t>
            </w:r>
          </w:p>
        </w:tc>
      </w:tr>
      <w:tr>
        <w:tblPrEx>
          <w:tblCellMar>
            <w:top w:w="0" w:type="dxa"/>
            <w:left w:w="108" w:type="dxa"/>
            <w:bottom w:w="0" w:type="dxa"/>
            <w:right w:w="108" w:type="dxa"/>
          </w:tblCellMar>
        </w:tblPrEx>
        <w:trPr>
          <w:trHeight w:val="633" w:hRule="atLeast"/>
        </w:trPr>
        <w:tc>
          <w:tcPr>
            <w:tcW w:w="460" w:type="dxa"/>
            <w:tcBorders>
              <w:top w:val="nil"/>
              <w:left w:val="single" w:color="auto" w:sz="4" w:space="0"/>
              <w:bottom w:val="single" w:color="auto" w:sz="4" w:space="0"/>
              <w:right w:val="single" w:color="auto" w:sz="4" w:space="0"/>
            </w:tcBorders>
            <w:vAlign w:val="center"/>
          </w:tcPr>
          <w:p>
            <w:pPr>
              <w:widowControl/>
              <w:spacing w:line="560" w:lineRule="exact"/>
              <w:jc w:val="center"/>
              <w:rPr>
                <w:rFonts w:ascii="方正仿宋_GB2312" w:hAnsi="方正仿宋_GB2312" w:eastAsia="方正仿宋_GB2312" w:cs="方正仿宋_GB2312"/>
                <w:color w:val="000000"/>
                <w:kern w:val="0"/>
                <w:szCs w:val="21"/>
              </w:rPr>
            </w:pPr>
            <w:r>
              <w:rPr>
                <w:rFonts w:ascii="方正仿宋_GB2312" w:hAnsi="方正仿宋_GB2312" w:eastAsia="方正仿宋_GB2312" w:cs="方正仿宋_GB2312"/>
                <w:color w:val="000000"/>
                <w:kern w:val="0"/>
                <w:szCs w:val="21"/>
              </w:rPr>
              <w:t>1</w:t>
            </w:r>
          </w:p>
        </w:tc>
        <w:tc>
          <w:tcPr>
            <w:tcW w:w="811" w:type="dxa"/>
            <w:vMerge w:val="restart"/>
            <w:tcBorders>
              <w:top w:val="nil"/>
              <w:left w:val="single" w:color="auto" w:sz="4" w:space="0"/>
              <w:right w:val="single" w:color="auto" w:sz="4" w:space="0"/>
            </w:tcBorders>
            <w:vAlign w:val="center"/>
          </w:tcPr>
          <w:p>
            <w:pPr>
              <w:widowControl/>
              <w:spacing w:line="560" w:lineRule="exact"/>
              <w:jc w:val="center"/>
              <w:rPr>
                <w:rFonts w:ascii="方正仿宋_GB2312" w:hAnsi="方正仿宋_GB2312" w:eastAsia="方正仿宋_GB2312" w:cs="方正仿宋_GB2312"/>
                <w:b/>
                <w:bCs/>
                <w:color w:val="000000"/>
                <w:kern w:val="0"/>
                <w:szCs w:val="21"/>
              </w:rPr>
            </w:pPr>
            <w:r>
              <w:rPr>
                <w:rFonts w:hint="eastAsia" w:ascii="方正仿宋_GB2312" w:hAnsi="方正仿宋_GB2312" w:eastAsia="方正仿宋_GB2312" w:cs="方正仿宋_GB2312"/>
                <w:b/>
                <w:bCs/>
                <w:color w:val="000000"/>
                <w:kern w:val="0"/>
                <w:szCs w:val="21"/>
              </w:rPr>
              <w:t>非学历教育</w:t>
            </w:r>
          </w:p>
        </w:tc>
        <w:tc>
          <w:tcPr>
            <w:tcW w:w="2077" w:type="dxa"/>
            <w:tcBorders>
              <w:top w:val="nil"/>
              <w:left w:val="nil"/>
              <w:bottom w:val="single" w:color="auto" w:sz="4" w:space="0"/>
              <w:right w:val="single" w:color="auto" w:sz="4" w:space="0"/>
            </w:tcBorders>
            <w:vAlign w:val="center"/>
          </w:tcPr>
          <w:p>
            <w:pPr>
              <w:widowControl/>
              <w:spacing w:line="560" w:lineRule="exact"/>
              <w:rPr>
                <w:rFonts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年培训总数</w:t>
            </w:r>
          </w:p>
        </w:tc>
        <w:tc>
          <w:tcPr>
            <w:tcW w:w="1440" w:type="dxa"/>
            <w:tcBorders>
              <w:top w:val="nil"/>
              <w:left w:val="nil"/>
              <w:bottom w:val="single" w:color="auto" w:sz="4" w:space="0"/>
              <w:right w:val="single" w:color="auto" w:sz="4" w:space="0"/>
            </w:tcBorders>
            <w:vAlign w:val="center"/>
          </w:tcPr>
          <w:p>
            <w:pPr>
              <w:widowControl/>
              <w:spacing w:line="560" w:lineRule="exact"/>
              <w:rPr>
                <w:rFonts w:ascii="方正仿宋_GB2312" w:hAnsi="方正仿宋_GB2312" w:eastAsia="方正仿宋_GB2312" w:cs="方正仿宋_GB2312"/>
                <w:color w:val="000000"/>
                <w:kern w:val="0"/>
                <w:szCs w:val="21"/>
              </w:rPr>
            </w:pPr>
            <w:r>
              <w:rPr>
                <w:rFonts w:ascii="方正仿宋_GB2312" w:hAnsi="方正仿宋_GB2312" w:eastAsia="方正仿宋_GB2312" w:cs="方正仿宋_GB2312"/>
                <w:color w:val="000000"/>
                <w:kern w:val="0"/>
                <w:szCs w:val="21"/>
              </w:rPr>
              <w:t>200</w:t>
            </w:r>
            <w:r>
              <w:rPr>
                <w:rFonts w:hint="eastAsia" w:ascii="方正仿宋_GB2312" w:hAnsi="方正仿宋_GB2312" w:eastAsia="方正仿宋_GB2312" w:cs="方正仿宋_GB2312"/>
                <w:color w:val="000000"/>
                <w:kern w:val="0"/>
                <w:szCs w:val="21"/>
              </w:rPr>
              <w:t>人　</w:t>
            </w:r>
          </w:p>
        </w:tc>
        <w:tc>
          <w:tcPr>
            <w:tcW w:w="1440" w:type="dxa"/>
            <w:tcBorders>
              <w:top w:val="nil"/>
              <w:left w:val="nil"/>
              <w:bottom w:val="single" w:color="auto" w:sz="4" w:space="0"/>
              <w:right w:val="single" w:color="auto" w:sz="4" w:space="0"/>
            </w:tcBorders>
            <w:vAlign w:val="center"/>
          </w:tcPr>
          <w:p>
            <w:pPr>
              <w:widowControl/>
              <w:spacing w:line="560" w:lineRule="exact"/>
              <w:rPr>
                <w:rFonts w:ascii="方正仿宋_GB2312" w:hAnsi="方正仿宋_GB2312" w:eastAsia="方正仿宋_GB2312" w:cs="方正仿宋_GB2312"/>
                <w:color w:val="000000"/>
                <w:kern w:val="0"/>
                <w:szCs w:val="21"/>
              </w:rPr>
            </w:pPr>
            <w:r>
              <w:rPr>
                <w:rFonts w:ascii="方正仿宋_GB2312" w:hAnsi="方正仿宋_GB2312" w:eastAsia="方正仿宋_GB2312" w:cs="方正仿宋_GB2312"/>
                <w:color w:val="000000"/>
                <w:kern w:val="0"/>
                <w:szCs w:val="21"/>
              </w:rPr>
              <w:t>1500</w:t>
            </w:r>
            <w:r>
              <w:rPr>
                <w:rFonts w:hint="eastAsia" w:ascii="方正仿宋_GB2312" w:hAnsi="方正仿宋_GB2312" w:eastAsia="方正仿宋_GB2312" w:cs="方正仿宋_GB2312"/>
                <w:color w:val="000000"/>
                <w:kern w:val="0"/>
                <w:szCs w:val="21"/>
              </w:rPr>
              <w:t>人　</w:t>
            </w:r>
          </w:p>
        </w:tc>
        <w:tc>
          <w:tcPr>
            <w:tcW w:w="900" w:type="dxa"/>
            <w:tcBorders>
              <w:top w:val="nil"/>
              <w:left w:val="nil"/>
              <w:bottom w:val="single" w:color="auto" w:sz="4" w:space="0"/>
              <w:right w:val="single" w:color="auto" w:sz="4" w:space="0"/>
            </w:tcBorders>
            <w:vAlign w:val="center"/>
          </w:tcPr>
          <w:p>
            <w:pPr>
              <w:widowControl/>
              <w:spacing w:line="560" w:lineRule="exact"/>
              <w:rPr>
                <w:rFonts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约束性</w:t>
            </w:r>
          </w:p>
        </w:tc>
        <w:tc>
          <w:tcPr>
            <w:tcW w:w="1656" w:type="dxa"/>
            <w:tcBorders>
              <w:top w:val="nil"/>
              <w:left w:val="nil"/>
              <w:bottom w:val="single" w:color="auto" w:sz="4" w:space="0"/>
              <w:right w:val="single" w:color="auto" w:sz="4" w:space="0"/>
            </w:tcBorders>
            <w:vAlign w:val="center"/>
          </w:tcPr>
          <w:p>
            <w:pPr>
              <w:widowControl/>
              <w:spacing w:line="560" w:lineRule="exact"/>
              <w:rPr>
                <w:rFonts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唐君、王志堂</w:t>
            </w:r>
          </w:p>
        </w:tc>
      </w:tr>
      <w:tr>
        <w:tblPrEx>
          <w:tblCellMar>
            <w:top w:w="0" w:type="dxa"/>
            <w:left w:w="108" w:type="dxa"/>
            <w:bottom w:w="0" w:type="dxa"/>
            <w:right w:w="108" w:type="dxa"/>
          </w:tblCellMar>
        </w:tblPrEx>
        <w:trPr>
          <w:trHeight w:val="633" w:hRule="atLeast"/>
        </w:trPr>
        <w:tc>
          <w:tcPr>
            <w:tcW w:w="460" w:type="dxa"/>
            <w:tcBorders>
              <w:top w:val="nil"/>
              <w:left w:val="single" w:color="auto" w:sz="4" w:space="0"/>
              <w:bottom w:val="single" w:color="auto" w:sz="4" w:space="0"/>
              <w:right w:val="single" w:color="auto" w:sz="4" w:space="0"/>
            </w:tcBorders>
            <w:vAlign w:val="center"/>
          </w:tcPr>
          <w:p>
            <w:pPr>
              <w:widowControl/>
              <w:spacing w:line="560" w:lineRule="exact"/>
              <w:jc w:val="center"/>
              <w:rPr>
                <w:rFonts w:ascii="方正仿宋_GB2312" w:hAnsi="方正仿宋_GB2312" w:eastAsia="方正仿宋_GB2312" w:cs="方正仿宋_GB2312"/>
                <w:color w:val="000000"/>
                <w:kern w:val="0"/>
                <w:szCs w:val="21"/>
              </w:rPr>
            </w:pPr>
            <w:r>
              <w:rPr>
                <w:rFonts w:ascii="方正仿宋_GB2312" w:hAnsi="方正仿宋_GB2312" w:eastAsia="方正仿宋_GB2312" w:cs="方正仿宋_GB2312"/>
                <w:color w:val="000000"/>
                <w:kern w:val="0"/>
                <w:szCs w:val="21"/>
              </w:rPr>
              <w:t>2</w:t>
            </w:r>
          </w:p>
        </w:tc>
        <w:tc>
          <w:tcPr>
            <w:tcW w:w="811" w:type="dxa"/>
            <w:vMerge w:val="continue"/>
            <w:tcBorders>
              <w:left w:val="single" w:color="auto" w:sz="4" w:space="0"/>
              <w:right w:val="single" w:color="auto" w:sz="4" w:space="0"/>
            </w:tcBorders>
            <w:vAlign w:val="center"/>
          </w:tcPr>
          <w:p>
            <w:pPr>
              <w:widowControl/>
              <w:spacing w:line="560" w:lineRule="exact"/>
              <w:rPr>
                <w:rFonts w:ascii="方正仿宋_GB2312" w:hAnsi="方正仿宋_GB2312" w:eastAsia="方正仿宋_GB2312" w:cs="方正仿宋_GB2312"/>
                <w:b/>
                <w:bCs/>
                <w:color w:val="000000"/>
                <w:kern w:val="0"/>
                <w:szCs w:val="21"/>
              </w:rPr>
            </w:pPr>
          </w:p>
        </w:tc>
        <w:tc>
          <w:tcPr>
            <w:tcW w:w="2077" w:type="dxa"/>
            <w:tcBorders>
              <w:top w:val="nil"/>
              <w:left w:val="nil"/>
              <w:bottom w:val="single" w:color="auto" w:sz="4" w:space="0"/>
              <w:right w:val="single" w:color="auto" w:sz="4" w:space="0"/>
            </w:tcBorders>
            <w:vAlign w:val="center"/>
          </w:tcPr>
          <w:p>
            <w:pPr>
              <w:widowControl/>
              <w:spacing w:line="560" w:lineRule="exact"/>
              <w:rPr>
                <w:rFonts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年培训场次</w:t>
            </w:r>
          </w:p>
        </w:tc>
        <w:tc>
          <w:tcPr>
            <w:tcW w:w="1440" w:type="dxa"/>
            <w:tcBorders>
              <w:top w:val="nil"/>
              <w:left w:val="nil"/>
              <w:bottom w:val="single" w:color="auto" w:sz="4" w:space="0"/>
              <w:right w:val="single" w:color="auto" w:sz="4" w:space="0"/>
            </w:tcBorders>
            <w:vAlign w:val="center"/>
          </w:tcPr>
          <w:p>
            <w:pPr>
              <w:widowControl/>
              <w:spacing w:line="560" w:lineRule="exact"/>
              <w:rPr>
                <w:rFonts w:ascii="方正仿宋_GB2312" w:hAnsi="方正仿宋_GB2312" w:eastAsia="方正仿宋_GB2312" w:cs="方正仿宋_GB2312"/>
                <w:color w:val="000000"/>
                <w:kern w:val="0"/>
                <w:szCs w:val="21"/>
              </w:rPr>
            </w:pPr>
            <w:r>
              <w:rPr>
                <w:rFonts w:ascii="方正仿宋_GB2312" w:hAnsi="方正仿宋_GB2312" w:eastAsia="方正仿宋_GB2312" w:cs="方正仿宋_GB2312"/>
                <w:color w:val="000000"/>
                <w:kern w:val="0"/>
                <w:szCs w:val="21"/>
              </w:rPr>
              <w:t>4</w:t>
            </w:r>
            <w:r>
              <w:rPr>
                <w:rFonts w:hint="eastAsia" w:ascii="方正仿宋_GB2312" w:hAnsi="方正仿宋_GB2312" w:eastAsia="方正仿宋_GB2312" w:cs="方正仿宋_GB2312"/>
                <w:color w:val="000000"/>
                <w:kern w:val="0"/>
                <w:szCs w:val="21"/>
              </w:rPr>
              <w:t>次</w:t>
            </w:r>
          </w:p>
        </w:tc>
        <w:tc>
          <w:tcPr>
            <w:tcW w:w="1440" w:type="dxa"/>
            <w:tcBorders>
              <w:top w:val="nil"/>
              <w:left w:val="nil"/>
              <w:bottom w:val="single" w:color="auto" w:sz="4" w:space="0"/>
              <w:right w:val="single" w:color="auto" w:sz="4" w:space="0"/>
            </w:tcBorders>
            <w:vAlign w:val="center"/>
          </w:tcPr>
          <w:p>
            <w:pPr>
              <w:widowControl/>
              <w:spacing w:line="560" w:lineRule="exact"/>
              <w:rPr>
                <w:rFonts w:ascii="方正仿宋_GB2312" w:hAnsi="方正仿宋_GB2312" w:eastAsia="方正仿宋_GB2312" w:cs="方正仿宋_GB2312"/>
                <w:color w:val="000000"/>
                <w:kern w:val="0"/>
                <w:szCs w:val="21"/>
              </w:rPr>
            </w:pPr>
            <w:r>
              <w:rPr>
                <w:rFonts w:ascii="方正仿宋_GB2312" w:hAnsi="方正仿宋_GB2312" w:eastAsia="方正仿宋_GB2312" w:cs="方正仿宋_GB2312"/>
                <w:color w:val="000000"/>
                <w:kern w:val="0"/>
                <w:szCs w:val="21"/>
              </w:rPr>
              <w:t>18</w:t>
            </w:r>
            <w:r>
              <w:rPr>
                <w:rFonts w:hint="eastAsia" w:ascii="方正仿宋_GB2312" w:hAnsi="方正仿宋_GB2312" w:eastAsia="方正仿宋_GB2312" w:cs="方正仿宋_GB2312"/>
                <w:color w:val="000000"/>
                <w:kern w:val="0"/>
                <w:szCs w:val="21"/>
              </w:rPr>
              <w:t>次以上</w:t>
            </w:r>
          </w:p>
        </w:tc>
        <w:tc>
          <w:tcPr>
            <w:tcW w:w="900" w:type="dxa"/>
            <w:tcBorders>
              <w:top w:val="nil"/>
              <w:left w:val="nil"/>
              <w:bottom w:val="single" w:color="auto" w:sz="4" w:space="0"/>
              <w:right w:val="single" w:color="auto" w:sz="4" w:space="0"/>
            </w:tcBorders>
            <w:vAlign w:val="center"/>
          </w:tcPr>
          <w:p>
            <w:pPr>
              <w:widowControl/>
              <w:spacing w:line="560" w:lineRule="exact"/>
              <w:rPr>
                <w:rFonts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约束性</w:t>
            </w:r>
          </w:p>
        </w:tc>
        <w:tc>
          <w:tcPr>
            <w:tcW w:w="1656" w:type="dxa"/>
            <w:tcBorders>
              <w:top w:val="nil"/>
              <w:left w:val="nil"/>
              <w:bottom w:val="single" w:color="auto" w:sz="4" w:space="0"/>
              <w:right w:val="single" w:color="auto" w:sz="4" w:space="0"/>
            </w:tcBorders>
            <w:vAlign w:val="center"/>
          </w:tcPr>
          <w:p>
            <w:pPr>
              <w:widowControl/>
              <w:spacing w:line="560" w:lineRule="exact"/>
              <w:rPr>
                <w:rFonts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唐君、王志堂</w:t>
            </w:r>
          </w:p>
        </w:tc>
      </w:tr>
      <w:tr>
        <w:tblPrEx>
          <w:tblCellMar>
            <w:top w:w="0" w:type="dxa"/>
            <w:left w:w="108" w:type="dxa"/>
            <w:bottom w:w="0" w:type="dxa"/>
            <w:right w:w="108" w:type="dxa"/>
          </w:tblCellMar>
        </w:tblPrEx>
        <w:trPr>
          <w:trHeight w:val="633" w:hRule="atLeast"/>
        </w:trPr>
        <w:tc>
          <w:tcPr>
            <w:tcW w:w="460" w:type="dxa"/>
            <w:tcBorders>
              <w:top w:val="nil"/>
              <w:left w:val="single" w:color="auto" w:sz="4" w:space="0"/>
              <w:bottom w:val="single" w:color="auto" w:sz="4" w:space="0"/>
              <w:right w:val="single" w:color="auto" w:sz="4" w:space="0"/>
            </w:tcBorders>
            <w:vAlign w:val="center"/>
          </w:tcPr>
          <w:p>
            <w:pPr>
              <w:widowControl/>
              <w:spacing w:line="560" w:lineRule="exact"/>
              <w:jc w:val="center"/>
              <w:rPr>
                <w:rFonts w:ascii="方正仿宋_GB2312" w:hAnsi="方正仿宋_GB2312" w:eastAsia="方正仿宋_GB2312" w:cs="方正仿宋_GB2312"/>
                <w:color w:val="000000"/>
                <w:kern w:val="0"/>
                <w:szCs w:val="21"/>
              </w:rPr>
            </w:pPr>
            <w:r>
              <w:rPr>
                <w:rFonts w:ascii="方正仿宋_GB2312" w:hAnsi="方正仿宋_GB2312" w:eastAsia="方正仿宋_GB2312" w:cs="方正仿宋_GB2312"/>
                <w:color w:val="000000"/>
                <w:kern w:val="0"/>
                <w:szCs w:val="21"/>
              </w:rPr>
              <w:t>3</w:t>
            </w:r>
          </w:p>
        </w:tc>
        <w:tc>
          <w:tcPr>
            <w:tcW w:w="811" w:type="dxa"/>
            <w:vMerge w:val="continue"/>
            <w:tcBorders>
              <w:left w:val="single" w:color="auto" w:sz="4" w:space="0"/>
              <w:right w:val="single" w:color="auto" w:sz="4" w:space="0"/>
            </w:tcBorders>
            <w:vAlign w:val="center"/>
          </w:tcPr>
          <w:p>
            <w:pPr>
              <w:widowControl/>
              <w:spacing w:line="560" w:lineRule="exact"/>
              <w:rPr>
                <w:rFonts w:ascii="方正仿宋_GB2312" w:hAnsi="方正仿宋_GB2312" w:eastAsia="方正仿宋_GB2312" w:cs="方正仿宋_GB2312"/>
                <w:color w:val="000000"/>
                <w:kern w:val="0"/>
                <w:szCs w:val="21"/>
              </w:rPr>
            </w:pPr>
          </w:p>
        </w:tc>
        <w:tc>
          <w:tcPr>
            <w:tcW w:w="2077" w:type="dxa"/>
            <w:tcBorders>
              <w:top w:val="nil"/>
              <w:left w:val="nil"/>
              <w:bottom w:val="single" w:color="auto" w:sz="4" w:space="0"/>
              <w:right w:val="single" w:color="auto" w:sz="4" w:space="0"/>
            </w:tcBorders>
            <w:vAlign w:val="center"/>
          </w:tcPr>
          <w:p>
            <w:pPr>
              <w:widowControl/>
              <w:spacing w:line="560" w:lineRule="exact"/>
              <w:rPr>
                <w:rFonts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线上培训平台</w:t>
            </w:r>
          </w:p>
        </w:tc>
        <w:tc>
          <w:tcPr>
            <w:tcW w:w="1440" w:type="dxa"/>
            <w:tcBorders>
              <w:top w:val="nil"/>
              <w:left w:val="nil"/>
              <w:bottom w:val="single" w:color="auto" w:sz="4" w:space="0"/>
              <w:right w:val="single" w:color="auto" w:sz="4" w:space="0"/>
            </w:tcBorders>
            <w:vAlign w:val="center"/>
          </w:tcPr>
          <w:p>
            <w:pPr>
              <w:widowControl/>
              <w:spacing w:line="560" w:lineRule="exact"/>
              <w:rPr>
                <w:rFonts w:ascii="方正仿宋_GB2312" w:hAnsi="方正仿宋_GB2312" w:eastAsia="方正仿宋_GB2312" w:cs="方正仿宋_GB2312"/>
                <w:color w:val="000000"/>
                <w:kern w:val="0"/>
                <w:szCs w:val="21"/>
              </w:rPr>
            </w:pPr>
            <w:r>
              <w:rPr>
                <w:rFonts w:ascii="方正仿宋_GB2312" w:hAnsi="方正仿宋_GB2312" w:eastAsia="方正仿宋_GB2312" w:cs="方正仿宋_GB2312"/>
                <w:color w:val="000000"/>
                <w:kern w:val="0"/>
                <w:szCs w:val="21"/>
              </w:rPr>
              <w:t>1</w:t>
            </w:r>
            <w:r>
              <w:rPr>
                <w:rFonts w:hint="eastAsia" w:ascii="方正仿宋_GB2312" w:hAnsi="方正仿宋_GB2312" w:eastAsia="方正仿宋_GB2312" w:cs="方正仿宋_GB2312"/>
                <w:color w:val="000000"/>
                <w:kern w:val="0"/>
                <w:szCs w:val="21"/>
              </w:rPr>
              <w:t>个</w:t>
            </w:r>
          </w:p>
        </w:tc>
        <w:tc>
          <w:tcPr>
            <w:tcW w:w="1440" w:type="dxa"/>
            <w:tcBorders>
              <w:top w:val="nil"/>
              <w:left w:val="nil"/>
              <w:bottom w:val="single" w:color="auto" w:sz="4" w:space="0"/>
              <w:right w:val="single" w:color="auto" w:sz="4" w:space="0"/>
            </w:tcBorders>
            <w:vAlign w:val="center"/>
          </w:tcPr>
          <w:p>
            <w:pPr>
              <w:widowControl/>
              <w:spacing w:line="560" w:lineRule="exact"/>
              <w:rPr>
                <w:rFonts w:ascii="方正仿宋_GB2312" w:hAnsi="方正仿宋_GB2312" w:eastAsia="方正仿宋_GB2312" w:cs="方正仿宋_GB2312"/>
                <w:color w:val="000000"/>
                <w:kern w:val="0"/>
                <w:szCs w:val="21"/>
              </w:rPr>
            </w:pPr>
            <w:r>
              <w:rPr>
                <w:rFonts w:ascii="方正仿宋_GB2312" w:hAnsi="方正仿宋_GB2312" w:eastAsia="方正仿宋_GB2312" w:cs="方正仿宋_GB2312"/>
                <w:color w:val="000000"/>
                <w:kern w:val="0"/>
                <w:szCs w:val="21"/>
              </w:rPr>
              <w:t>3-5</w:t>
            </w:r>
            <w:r>
              <w:rPr>
                <w:rFonts w:hint="eastAsia" w:ascii="方正仿宋_GB2312" w:hAnsi="方正仿宋_GB2312" w:eastAsia="方正仿宋_GB2312" w:cs="方正仿宋_GB2312"/>
                <w:color w:val="000000"/>
                <w:kern w:val="0"/>
                <w:szCs w:val="21"/>
              </w:rPr>
              <w:t>个</w:t>
            </w:r>
          </w:p>
        </w:tc>
        <w:tc>
          <w:tcPr>
            <w:tcW w:w="900" w:type="dxa"/>
            <w:tcBorders>
              <w:top w:val="nil"/>
              <w:left w:val="nil"/>
              <w:bottom w:val="single" w:color="auto" w:sz="4" w:space="0"/>
              <w:right w:val="single" w:color="auto" w:sz="4" w:space="0"/>
            </w:tcBorders>
            <w:vAlign w:val="center"/>
          </w:tcPr>
          <w:p>
            <w:pPr>
              <w:widowControl/>
              <w:spacing w:line="560" w:lineRule="exact"/>
              <w:rPr>
                <w:rFonts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约束性</w:t>
            </w:r>
          </w:p>
        </w:tc>
        <w:tc>
          <w:tcPr>
            <w:tcW w:w="1656" w:type="dxa"/>
            <w:tcBorders>
              <w:top w:val="nil"/>
              <w:left w:val="nil"/>
              <w:bottom w:val="single" w:color="auto" w:sz="4" w:space="0"/>
              <w:right w:val="single" w:color="auto" w:sz="4" w:space="0"/>
            </w:tcBorders>
            <w:vAlign w:val="center"/>
          </w:tcPr>
          <w:p>
            <w:pPr>
              <w:widowControl/>
              <w:spacing w:line="560" w:lineRule="exact"/>
              <w:rPr>
                <w:rFonts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唐君、王志堂</w:t>
            </w:r>
          </w:p>
        </w:tc>
      </w:tr>
      <w:tr>
        <w:tblPrEx>
          <w:tblCellMar>
            <w:top w:w="0" w:type="dxa"/>
            <w:left w:w="108" w:type="dxa"/>
            <w:bottom w:w="0" w:type="dxa"/>
            <w:right w:w="108" w:type="dxa"/>
          </w:tblCellMar>
        </w:tblPrEx>
        <w:trPr>
          <w:trHeight w:val="633" w:hRule="atLeast"/>
        </w:trPr>
        <w:tc>
          <w:tcPr>
            <w:tcW w:w="460" w:type="dxa"/>
            <w:tcBorders>
              <w:top w:val="nil"/>
              <w:left w:val="single" w:color="auto" w:sz="4" w:space="0"/>
              <w:bottom w:val="single" w:color="auto" w:sz="4" w:space="0"/>
              <w:right w:val="single" w:color="auto" w:sz="4" w:space="0"/>
            </w:tcBorders>
            <w:vAlign w:val="center"/>
          </w:tcPr>
          <w:p>
            <w:pPr>
              <w:widowControl/>
              <w:spacing w:line="560" w:lineRule="exact"/>
              <w:jc w:val="center"/>
              <w:rPr>
                <w:rFonts w:ascii="方正仿宋_GB2312" w:hAnsi="方正仿宋_GB2312" w:eastAsia="方正仿宋_GB2312" w:cs="方正仿宋_GB2312"/>
                <w:color w:val="000000"/>
                <w:kern w:val="0"/>
                <w:szCs w:val="21"/>
              </w:rPr>
            </w:pPr>
            <w:r>
              <w:rPr>
                <w:rFonts w:ascii="方正仿宋_GB2312" w:hAnsi="方正仿宋_GB2312" w:eastAsia="方正仿宋_GB2312" w:cs="方正仿宋_GB2312"/>
                <w:color w:val="000000"/>
                <w:kern w:val="0"/>
                <w:szCs w:val="21"/>
              </w:rPr>
              <w:t>4</w:t>
            </w:r>
          </w:p>
        </w:tc>
        <w:tc>
          <w:tcPr>
            <w:tcW w:w="811" w:type="dxa"/>
            <w:vMerge w:val="continue"/>
            <w:tcBorders>
              <w:left w:val="single" w:color="auto" w:sz="4" w:space="0"/>
              <w:right w:val="single" w:color="auto" w:sz="4" w:space="0"/>
            </w:tcBorders>
            <w:vAlign w:val="center"/>
          </w:tcPr>
          <w:p>
            <w:pPr>
              <w:widowControl/>
              <w:spacing w:line="560" w:lineRule="exact"/>
              <w:rPr>
                <w:rFonts w:ascii="方正仿宋_GB2312" w:hAnsi="方正仿宋_GB2312" w:eastAsia="方正仿宋_GB2312" w:cs="方正仿宋_GB2312"/>
                <w:color w:val="000000"/>
                <w:kern w:val="0"/>
                <w:szCs w:val="21"/>
              </w:rPr>
            </w:pPr>
          </w:p>
        </w:tc>
        <w:tc>
          <w:tcPr>
            <w:tcW w:w="2077" w:type="dxa"/>
            <w:tcBorders>
              <w:top w:val="nil"/>
              <w:left w:val="nil"/>
              <w:bottom w:val="single" w:color="auto" w:sz="4" w:space="0"/>
              <w:right w:val="single" w:color="auto" w:sz="4" w:space="0"/>
            </w:tcBorders>
            <w:vAlign w:val="center"/>
          </w:tcPr>
          <w:p>
            <w:pPr>
              <w:widowControl/>
              <w:spacing w:line="560" w:lineRule="exact"/>
              <w:rPr>
                <w:rFonts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线上培训人次</w:t>
            </w:r>
          </w:p>
        </w:tc>
        <w:tc>
          <w:tcPr>
            <w:tcW w:w="1440" w:type="dxa"/>
            <w:tcBorders>
              <w:top w:val="nil"/>
              <w:left w:val="nil"/>
              <w:bottom w:val="single" w:color="auto" w:sz="4" w:space="0"/>
              <w:right w:val="single" w:color="auto" w:sz="4" w:space="0"/>
            </w:tcBorders>
            <w:vAlign w:val="center"/>
          </w:tcPr>
          <w:p>
            <w:pPr>
              <w:widowControl/>
              <w:spacing w:line="560" w:lineRule="exact"/>
              <w:rPr>
                <w:rFonts w:ascii="方正仿宋_GB2312" w:hAnsi="方正仿宋_GB2312" w:eastAsia="方正仿宋_GB2312" w:cs="方正仿宋_GB2312"/>
                <w:color w:val="000000"/>
                <w:kern w:val="0"/>
                <w:szCs w:val="21"/>
              </w:rPr>
            </w:pPr>
            <w:r>
              <w:rPr>
                <w:rFonts w:ascii="方正仿宋_GB2312" w:hAnsi="方正仿宋_GB2312" w:eastAsia="方正仿宋_GB2312" w:cs="方正仿宋_GB2312"/>
                <w:color w:val="000000"/>
                <w:kern w:val="0"/>
                <w:szCs w:val="21"/>
              </w:rPr>
              <w:t>1000</w:t>
            </w:r>
            <w:r>
              <w:rPr>
                <w:rFonts w:hint="eastAsia" w:ascii="方正仿宋_GB2312" w:hAnsi="方正仿宋_GB2312" w:eastAsia="方正仿宋_GB2312" w:cs="方正仿宋_GB2312"/>
                <w:color w:val="000000"/>
                <w:kern w:val="0"/>
                <w:szCs w:val="21"/>
              </w:rPr>
              <w:t>人</w:t>
            </w:r>
          </w:p>
        </w:tc>
        <w:tc>
          <w:tcPr>
            <w:tcW w:w="1440" w:type="dxa"/>
            <w:tcBorders>
              <w:top w:val="nil"/>
              <w:left w:val="nil"/>
              <w:bottom w:val="single" w:color="auto" w:sz="4" w:space="0"/>
              <w:right w:val="single" w:color="auto" w:sz="4" w:space="0"/>
            </w:tcBorders>
            <w:vAlign w:val="center"/>
          </w:tcPr>
          <w:p>
            <w:pPr>
              <w:widowControl/>
              <w:spacing w:line="560" w:lineRule="exact"/>
              <w:rPr>
                <w:rFonts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累计</w:t>
            </w:r>
            <w:r>
              <w:rPr>
                <w:rFonts w:ascii="方正仿宋_GB2312" w:hAnsi="方正仿宋_GB2312" w:eastAsia="方正仿宋_GB2312" w:cs="方正仿宋_GB2312"/>
                <w:color w:val="000000"/>
                <w:kern w:val="0"/>
                <w:szCs w:val="21"/>
              </w:rPr>
              <w:t>15000</w:t>
            </w:r>
            <w:r>
              <w:rPr>
                <w:rFonts w:hint="eastAsia" w:ascii="方正仿宋_GB2312" w:hAnsi="方正仿宋_GB2312" w:eastAsia="方正仿宋_GB2312" w:cs="方正仿宋_GB2312"/>
                <w:color w:val="000000"/>
                <w:kern w:val="0"/>
                <w:szCs w:val="21"/>
              </w:rPr>
              <w:t>人以上</w:t>
            </w:r>
          </w:p>
        </w:tc>
        <w:tc>
          <w:tcPr>
            <w:tcW w:w="900" w:type="dxa"/>
            <w:tcBorders>
              <w:top w:val="nil"/>
              <w:left w:val="nil"/>
              <w:bottom w:val="single" w:color="auto" w:sz="4" w:space="0"/>
              <w:right w:val="single" w:color="auto" w:sz="4" w:space="0"/>
            </w:tcBorders>
            <w:vAlign w:val="center"/>
          </w:tcPr>
          <w:p>
            <w:pPr>
              <w:widowControl/>
              <w:spacing w:line="560" w:lineRule="exact"/>
              <w:rPr>
                <w:rFonts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约束性</w:t>
            </w:r>
          </w:p>
        </w:tc>
        <w:tc>
          <w:tcPr>
            <w:tcW w:w="1656" w:type="dxa"/>
            <w:tcBorders>
              <w:top w:val="nil"/>
              <w:left w:val="nil"/>
              <w:bottom w:val="single" w:color="auto" w:sz="4" w:space="0"/>
              <w:right w:val="single" w:color="auto" w:sz="4" w:space="0"/>
            </w:tcBorders>
            <w:vAlign w:val="center"/>
          </w:tcPr>
          <w:p>
            <w:pPr>
              <w:widowControl/>
              <w:spacing w:line="560" w:lineRule="exact"/>
              <w:rPr>
                <w:rFonts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唐君、王志堂</w:t>
            </w:r>
          </w:p>
        </w:tc>
      </w:tr>
      <w:tr>
        <w:tblPrEx>
          <w:tblCellMar>
            <w:top w:w="0" w:type="dxa"/>
            <w:left w:w="108" w:type="dxa"/>
            <w:bottom w:w="0" w:type="dxa"/>
            <w:right w:w="108" w:type="dxa"/>
          </w:tblCellMar>
        </w:tblPrEx>
        <w:trPr>
          <w:trHeight w:val="633" w:hRule="atLeast"/>
        </w:trPr>
        <w:tc>
          <w:tcPr>
            <w:tcW w:w="460" w:type="dxa"/>
            <w:tcBorders>
              <w:top w:val="nil"/>
              <w:left w:val="single" w:color="auto" w:sz="4" w:space="0"/>
              <w:bottom w:val="single" w:color="auto" w:sz="4" w:space="0"/>
              <w:right w:val="single" w:color="auto" w:sz="4" w:space="0"/>
            </w:tcBorders>
            <w:vAlign w:val="center"/>
          </w:tcPr>
          <w:p>
            <w:pPr>
              <w:widowControl/>
              <w:spacing w:line="560" w:lineRule="exact"/>
              <w:jc w:val="center"/>
              <w:rPr>
                <w:rFonts w:ascii="方正仿宋_GB2312" w:hAnsi="方正仿宋_GB2312" w:eastAsia="方正仿宋_GB2312" w:cs="方正仿宋_GB2312"/>
                <w:color w:val="000000"/>
                <w:kern w:val="0"/>
                <w:szCs w:val="21"/>
              </w:rPr>
            </w:pPr>
            <w:r>
              <w:rPr>
                <w:rFonts w:ascii="方正仿宋_GB2312" w:hAnsi="方正仿宋_GB2312" w:eastAsia="方正仿宋_GB2312" w:cs="方正仿宋_GB2312"/>
                <w:color w:val="000000"/>
                <w:kern w:val="0"/>
                <w:szCs w:val="21"/>
              </w:rPr>
              <w:t>5</w:t>
            </w:r>
          </w:p>
        </w:tc>
        <w:tc>
          <w:tcPr>
            <w:tcW w:w="811" w:type="dxa"/>
            <w:vMerge w:val="continue"/>
            <w:tcBorders>
              <w:left w:val="single" w:color="auto" w:sz="4" w:space="0"/>
              <w:right w:val="single" w:color="auto" w:sz="4" w:space="0"/>
            </w:tcBorders>
            <w:vAlign w:val="center"/>
          </w:tcPr>
          <w:p>
            <w:pPr>
              <w:widowControl/>
              <w:spacing w:line="560" w:lineRule="exact"/>
              <w:rPr>
                <w:rFonts w:ascii="方正仿宋_GB2312" w:hAnsi="方正仿宋_GB2312" w:eastAsia="方正仿宋_GB2312" w:cs="方正仿宋_GB2312"/>
                <w:color w:val="000000"/>
                <w:kern w:val="0"/>
                <w:szCs w:val="21"/>
              </w:rPr>
            </w:pPr>
          </w:p>
        </w:tc>
        <w:tc>
          <w:tcPr>
            <w:tcW w:w="2077" w:type="dxa"/>
            <w:tcBorders>
              <w:top w:val="nil"/>
              <w:left w:val="nil"/>
              <w:bottom w:val="single" w:color="auto" w:sz="4" w:space="0"/>
              <w:right w:val="single" w:color="auto" w:sz="4" w:space="0"/>
            </w:tcBorders>
            <w:vAlign w:val="center"/>
          </w:tcPr>
          <w:p>
            <w:pPr>
              <w:widowControl/>
              <w:spacing w:line="560" w:lineRule="exact"/>
              <w:rPr>
                <w:rFonts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市级以上培训基地</w:t>
            </w:r>
          </w:p>
        </w:tc>
        <w:tc>
          <w:tcPr>
            <w:tcW w:w="1440" w:type="dxa"/>
            <w:tcBorders>
              <w:top w:val="nil"/>
              <w:left w:val="nil"/>
              <w:bottom w:val="single" w:color="auto" w:sz="4" w:space="0"/>
              <w:right w:val="single" w:color="auto" w:sz="4" w:space="0"/>
            </w:tcBorders>
            <w:vAlign w:val="center"/>
          </w:tcPr>
          <w:p>
            <w:pPr>
              <w:widowControl/>
              <w:spacing w:line="560" w:lineRule="exact"/>
              <w:rPr>
                <w:rFonts w:ascii="方正仿宋_GB2312" w:hAnsi="方正仿宋_GB2312" w:eastAsia="方正仿宋_GB2312" w:cs="方正仿宋_GB2312"/>
                <w:color w:val="000000"/>
                <w:kern w:val="0"/>
                <w:szCs w:val="21"/>
              </w:rPr>
            </w:pPr>
            <w:r>
              <w:rPr>
                <w:rFonts w:ascii="方正仿宋_GB2312" w:hAnsi="方正仿宋_GB2312" w:eastAsia="方正仿宋_GB2312" w:cs="方正仿宋_GB2312"/>
                <w:color w:val="000000"/>
                <w:kern w:val="0"/>
                <w:szCs w:val="21"/>
              </w:rPr>
              <w:t>0</w:t>
            </w:r>
            <w:r>
              <w:rPr>
                <w:rFonts w:hint="eastAsia" w:ascii="方正仿宋_GB2312" w:hAnsi="方正仿宋_GB2312" w:eastAsia="方正仿宋_GB2312" w:cs="方正仿宋_GB2312"/>
                <w:color w:val="000000"/>
                <w:kern w:val="0"/>
                <w:szCs w:val="21"/>
              </w:rPr>
              <w:t>个</w:t>
            </w:r>
          </w:p>
        </w:tc>
        <w:tc>
          <w:tcPr>
            <w:tcW w:w="1440" w:type="dxa"/>
            <w:tcBorders>
              <w:top w:val="nil"/>
              <w:left w:val="nil"/>
              <w:bottom w:val="single" w:color="auto" w:sz="4" w:space="0"/>
              <w:right w:val="single" w:color="auto" w:sz="4" w:space="0"/>
            </w:tcBorders>
            <w:vAlign w:val="center"/>
          </w:tcPr>
          <w:p>
            <w:pPr>
              <w:widowControl/>
              <w:spacing w:line="560" w:lineRule="exact"/>
              <w:rPr>
                <w:rFonts w:ascii="方正仿宋_GB2312" w:hAnsi="方正仿宋_GB2312" w:eastAsia="方正仿宋_GB2312" w:cs="方正仿宋_GB2312"/>
                <w:color w:val="000000"/>
                <w:kern w:val="0"/>
                <w:szCs w:val="21"/>
              </w:rPr>
            </w:pPr>
            <w:r>
              <w:rPr>
                <w:rFonts w:ascii="方正仿宋_GB2312" w:hAnsi="方正仿宋_GB2312" w:eastAsia="方正仿宋_GB2312" w:cs="方正仿宋_GB2312"/>
                <w:color w:val="000000"/>
                <w:kern w:val="0"/>
                <w:szCs w:val="21"/>
              </w:rPr>
              <w:t>3-5</w:t>
            </w:r>
            <w:r>
              <w:rPr>
                <w:rFonts w:hint="eastAsia" w:ascii="方正仿宋_GB2312" w:hAnsi="方正仿宋_GB2312" w:eastAsia="方正仿宋_GB2312" w:cs="方正仿宋_GB2312"/>
                <w:color w:val="000000"/>
                <w:kern w:val="0"/>
                <w:szCs w:val="21"/>
              </w:rPr>
              <w:t>个</w:t>
            </w:r>
          </w:p>
        </w:tc>
        <w:tc>
          <w:tcPr>
            <w:tcW w:w="900" w:type="dxa"/>
            <w:tcBorders>
              <w:top w:val="nil"/>
              <w:left w:val="nil"/>
              <w:bottom w:val="single" w:color="auto" w:sz="4" w:space="0"/>
              <w:right w:val="single" w:color="auto" w:sz="4" w:space="0"/>
            </w:tcBorders>
            <w:vAlign w:val="center"/>
          </w:tcPr>
          <w:p>
            <w:pPr>
              <w:widowControl/>
              <w:spacing w:line="560" w:lineRule="exact"/>
              <w:rPr>
                <w:rFonts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预期性</w:t>
            </w:r>
          </w:p>
        </w:tc>
        <w:tc>
          <w:tcPr>
            <w:tcW w:w="1656" w:type="dxa"/>
            <w:tcBorders>
              <w:top w:val="nil"/>
              <w:left w:val="nil"/>
              <w:bottom w:val="single" w:color="auto" w:sz="4" w:space="0"/>
              <w:right w:val="single" w:color="auto" w:sz="4" w:space="0"/>
            </w:tcBorders>
            <w:vAlign w:val="center"/>
          </w:tcPr>
          <w:p>
            <w:pPr>
              <w:widowControl/>
              <w:spacing w:line="560" w:lineRule="exact"/>
              <w:rPr>
                <w:rFonts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唐君、王志堂</w:t>
            </w:r>
          </w:p>
        </w:tc>
      </w:tr>
      <w:tr>
        <w:tblPrEx>
          <w:tblCellMar>
            <w:top w:w="0" w:type="dxa"/>
            <w:left w:w="108" w:type="dxa"/>
            <w:bottom w:w="0" w:type="dxa"/>
            <w:right w:w="108" w:type="dxa"/>
          </w:tblCellMar>
        </w:tblPrEx>
        <w:trPr>
          <w:trHeight w:val="633" w:hRule="atLeast"/>
        </w:trPr>
        <w:tc>
          <w:tcPr>
            <w:tcW w:w="460" w:type="dxa"/>
            <w:tcBorders>
              <w:top w:val="nil"/>
              <w:left w:val="single" w:color="auto" w:sz="4" w:space="0"/>
              <w:bottom w:val="single" w:color="auto" w:sz="4" w:space="0"/>
              <w:right w:val="single" w:color="auto" w:sz="4" w:space="0"/>
            </w:tcBorders>
            <w:vAlign w:val="center"/>
          </w:tcPr>
          <w:p>
            <w:pPr>
              <w:widowControl/>
              <w:spacing w:line="560" w:lineRule="exact"/>
              <w:jc w:val="center"/>
              <w:rPr>
                <w:rFonts w:ascii="方正仿宋_GB2312" w:hAnsi="方正仿宋_GB2312" w:eastAsia="方正仿宋_GB2312" w:cs="方正仿宋_GB2312"/>
                <w:color w:val="000000"/>
                <w:kern w:val="0"/>
                <w:szCs w:val="21"/>
              </w:rPr>
            </w:pPr>
            <w:r>
              <w:rPr>
                <w:rFonts w:ascii="方正仿宋_GB2312" w:hAnsi="方正仿宋_GB2312" w:eastAsia="方正仿宋_GB2312" w:cs="方正仿宋_GB2312"/>
                <w:color w:val="000000"/>
                <w:kern w:val="0"/>
                <w:szCs w:val="21"/>
              </w:rPr>
              <w:t>6</w:t>
            </w:r>
          </w:p>
        </w:tc>
        <w:tc>
          <w:tcPr>
            <w:tcW w:w="811" w:type="dxa"/>
            <w:vMerge w:val="continue"/>
            <w:tcBorders>
              <w:left w:val="single" w:color="auto" w:sz="4" w:space="0"/>
              <w:right w:val="single" w:color="auto" w:sz="4" w:space="0"/>
            </w:tcBorders>
            <w:vAlign w:val="center"/>
          </w:tcPr>
          <w:p>
            <w:pPr>
              <w:widowControl/>
              <w:spacing w:line="560" w:lineRule="exact"/>
              <w:rPr>
                <w:rFonts w:ascii="方正仿宋_GB2312" w:hAnsi="方正仿宋_GB2312" w:eastAsia="方正仿宋_GB2312" w:cs="方正仿宋_GB2312"/>
                <w:color w:val="000000"/>
                <w:kern w:val="0"/>
                <w:szCs w:val="21"/>
              </w:rPr>
            </w:pPr>
          </w:p>
        </w:tc>
        <w:tc>
          <w:tcPr>
            <w:tcW w:w="2077" w:type="dxa"/>
            <w:tcBorders>
              <w:top w:val="nil"/>
              <w:left w:val="nil"/>
              <w:bottom w:val="single" w:color="auto" w:sz="4" w:space="0"/>
              <w:right w:val="single" w:color="auto" w:sz="4" w:space="0"/>
            </w:tcBorders>
            <w:vAlign w:val="center"/>
          </w:tcPr>
          <w:p>
            <w:pPr>
              <w:widowControl/>
              <w:adjustRightInd w:val="0"/>
              <w:snapToGrid w:val="0"/>
              <w:rPr>
                <w:rFonts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非学历教育进校经费</w:t>
            </w:r>
          </w:p>
        </w:tc>
        <w:tc>
          <w:tcPr>
            <w:tcW w:w="1440" w:type="dxa"/>
            <w:tcBorders>
              <w:top w:val="nil"/>
              <w:left w:val="nil"/>
              <w:bottom w:val="single" w:color="auto" w:sz="4" w:space="0"/>
              <w:right w:val="single" w:color="auto" w:sz="4" w:space="0"/>
            </w:tcBorders>
            <w:vAlign w:val="center"/>
          </w:tcPr>
          <w:p>
            <w:pPr>
              <w:widowControl/>
              <w:adjustRightInd w:val="0"/>
              <w:snapToGrid w:val="0"/>
              <w:rPr>
                <w:rFonts w:ascii="方正仿宋_GB2312" w:hAnsi="方正仿宋_GB2312" w:eastAsia="方正仿宋_GB2312" w:cs="方正仿宋_GB2312"/>
                <w:color w:val="000000"/>
                <w:kern w:val="0"/>
                <w:szCs w:val="21"/>
              </w:rPr>
            </w:pPr>
            <w:r>
              <w:rPr>
                <w:rFonts w:ascii="方正仿宋_GB2312" w:hAnsi="方正仿宋_GB2312" w:eastAsia="方正仿宋_GB2312" w:cs="方正仿宋_GB2312"/>
                <w:color w:val="000000"/>
                <w:kern w:val="0"/>
                <w:szCs w:val="21"/>
              </w:rPr>
              <w:t>40</w:t>
            </w:r>
            <w:r>
              <w:rPr>
                <w:rFonts w:hint="eastAsia" w:ascii="方正仿宋_GB2312" w:hAnsi="方正仿宋_GB2312" w:eastAsia="方正仿宋_GB2312" w:cs="方正仿宋_GB2312"/>
                <w:color w:val="000000"/>
                <w:kern w:val="0"/>
                <w:szCs w:val="21"/>
              </w:rPr>
              <w:t>万</w:t>
            </w:r>
          </w:p>
        </w:tc>
        <w:tc>
          <w:tcPr>
            <w:tcW w:w="1440" w:type="dxa"/>
            <w:tcBorders>
              <w:top w:val="nil"/>
              <w:left w:val="nil"/>
              <w:bottom w:val="single" w:color="auto" w:sz="4" w:space="0"/>
              <w:right w:val="single" w:color="auto" w:sz="4" w:space="0"/>
            </w:tcBorders>
            <w:vAlign w:val="center"/>
          </w:tcPr>
          <w:p>
            <w:pPr>
              <w:widowControl/>
              <w:adjustRightInd w:val="0"/>
              <w:snapToGrid w:val="0"/>
              <w:rPr>
                <w:rFonts w:ascii="方正仿宋_GB2312" w:hAnsi="方正仿宋_GB2312" w:eastAsia="方正仿宋_GB2312" w:cs="方正仿宋_GB2312"/>
                <w:color w:val="000000"/>
                <w:kern w:val="0"/>
                <w:szCs w:val="21"/>
              </w:rPr>
            </w:pPr>
            <w:r>
              <w:rPr>
                <w:rFonts w:ascii="方正仿宋_GB2312" w:hAnsi="方正仿宋_GB2312" w:eastAsia="方正仿宋_GB2312" w:cs="方正仿宋_GB2312"/>
                <w:color w:val="000000"/>
                <w:kern w:val="0"/>
                <w:szCs w:val="21"/>
              </w:rPr>
              <w:t>200</w:t>
            </w:r>
            <w:r>
              <w:rPr>
                <w:rFonts w:hint="eastAsia" w:ascii="方正仿宋_GB2312" w:hAnsi="方正仿宋_GB2312" w:eastAsia="方正仿宋_GB2312" w:cs="方正仿宋_GB2312"/>
                <w:color w:val="000000"/>
                <w:kern w:val="0"/>
                <w:szCs w:val="21"/>
              </w:rPr>
              <w:t>万以上　</w:t>
            </w:r>
          </w:p>
        </w:tc>
        <w:tc>
          <w:tcPr>
            <w:tcW w:w="900" w:type="dxa"/>
            <w:tcBorders>
              <w:top w:val="nil"/>
              <w:left w:val="nil"/>
              <w:bottom w:val="single" w:color="auto" w:sz="4" w:space="0"/>
              <w:right w:val="single" w:color="auto" w:sz="4" w:space="0"/>
            </w:tcBorders>
            <w:vAlign w:val="center"/>
          </w:tcPr>
          <w:p>
            <w:pPr>
              <w:widowControl/>
              <w:adjustRightInd w:val="0"/>
              <w:snapToGrid w:val="0"/>
              <w:rPr>
                <w:rFonts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约束性</w:t>
            </w:r>
          </w:p>
        </w:tc>
        <w:tc>
          <w:tcPr>
            <w:tcW w:w="1656" w:type="dxa"/>
            <w:tcBorders>
              <w:top w:val="nil"/>
              <w:left w:val="nil"/>
              <w:bottom w:val="single" w:color="auto" w:sz="4" w:space="0"/>
              <w:right w:val="single" w:color="auto" w:sz="4" w:space="0"/>
            </w:tcBorders>
            <w:vAlign w:val="center"/>
          </w:tcPr>
          <w:p>
            <w:pPr>
              <w:widowControl/>
              <w:adjustRightInd w:val="0"/>
              <w:snapToGrid w:val="0"/>
              <w:rPr>
                <w:rFonts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唐君、王志堂</w:t>
            </w:r>
          </w:p>
        </w:tc>
      </w:tr>
      <w:tr>
        <w:tblPrEx>
          <w:tblCellMar>
            <w:top w:w="0" w:type="dxa"/>
            <w:left w:w="108" w:type="dxa"/>
            <w:bottom w:w="0" w:type="dxa"/>
            <w:right w:w="108" w:type="dxa"/>
          </w:tblCellMar>
        </w:tblPrEx>
        <w:trPr>
          <w:trHeight w:val="555" w:hRule="atLeast"/>
        </w:trPr>
        <w:tc>
          <w:tcPr>
            <w:tcW w:w="460" w:type="dxa"/>
            <w:tcBorders>
              <w:top w:val="nil"/>
              <w:left w:val="single" w:color="auto" w:sz="4" w:space="0"/>
              <w:bottom w:val="single" w:color="auto" w:sz="4" w:space="0"/>
              <w:right w:val="single" w:color="auto" w:sz="4" w:space="0"/>
            </w:tcBorders>
            <w:vAlign w:val="center"/>
          </w:tcPr>
          <w:p>
            <w:pPr>
              <w:widowControl/>
              <w:spacing w:line="560" w:lineRule="exact"/>
              <w:jc w:val="center"/>
              <w:rPr>
                <w:rFonts w:ascii="方正仿宋_GB2312" w:hAnsi="方正仿宋_GB2312" w:eastAsia="方正仿宋_GB2312" w:cs="方正仿宋_GB2312"/>
                <w:color w:val="000000"/>
                <w:kern w:val="0"/>
                <w:szCs w:val="21"/>
              </w:rPr>
            </w:pPr>
            <w:r>
              <w:rPr>
                <w:rFonts w:ascii="方正仿宋_GB2312" w:hAnsi="方正仿宋_GB2312" w:eastAsia="方正仿宋_GB2312" w:cs="方正仿宋_GB2312"/>
                <w:color w:val="000000"/>
                <w:kern w:val="0"/>
                <w:szCs w:val="21"/>
              </w:rPr>
              <w:t>7</w:t>
            </w:r>
          </w:p>
        </w:tc>
        <w:tc>
          <w:tcPr>
            <w:tcW w:w="811" w:type="dxa"/>
            <w:vMerge w:val="continue"/>
            <w:tcBorders>
              <w:left w:val="single" w:color="auto" w:sz="4" w:space="0"/>
              <w:bottom w:val="single" w:color="auto" w:sz="4" w:space="0"/>
              <w:right w:val="single" w:color="auto" w:sz="4" w:space="0"/>
            </w:tcBorders>
            <w:vAlign w:val="center"/>
          </w:tcPr>
          <w:p>
            <w:pPr>
              <w:widowControl/>
              <w:spacing w:line="560" w:lineRule="exact"/>
              <w:rPr>
                <w:rFonts w:ascii="方正仿宋_GB2312" w:hAnsi="方正仿宋_GB2312" w:eastAsia="方正仿宋_GB2312" w:cs="方正仿宋_GB2312"/>
                <w:color w:val="000000"/>
                <w:kern w:val="0"/>
                <w:szCs w:val="21"/>
              </w:rPr>
            </w:pPr>
          </w:p>
        </w:tc>
        <w:tc>
          <w:tcPr>
            <w:tcW w:w="2077" w:type="dxa"/>
            <w:tcBorders>
              <w:top w:val="nil"/>
              <w:left w:val="nil"/>
              <w:bottom w:val="single" w:color="auto" w:sz="4" w:space="0"/>
              <w:right w:val="single" w:color="auto" w:sz="4" w:space="0"/>
            </w:tcBorders>
            <w:vAlign w:val="center"/>
          </w:tcPr>
          <w:p>
            <w:pPr>
              <w:widowControl/>
              <w:spacing w:line="560" w:lineRule="exact"/>
              <w:rPr>
                <w:rFonts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职业鉴定工种</w:t>
            </w:r>
          </w:p>
        </w:tc>
        <w:tc>
          <w:tcPr>
            <w:tcW w:w="1440" w:type="dxa"/>
            <w:tcBorders>
              <w:top w:val="nil"/>
              <w:left w:val="nil"/>
              <w:bottom w:val="single" w:color="auto" w:sz="4" w:space="0"/>
              <w:right w:val="single" w:color="auto" w:sz="4" w:space="0"/>
            </w:tcBorders>
            <w:vAlign w:val="center"/>
          </w:tcPr>
          <w:p>
            <w:pPr>
              <w:widowControl/>
              <w:spacing w:line="560" w:lineRule="exact"/>
              <w:rPr>
                <w:rFonts w:ascii="方正仿宋_GB2312" w:hAnsi="方正仿宋_GB2312" w:eastAsia="方正仿宋_GB2312" w:cs="方正仿宋_GB2312"/>
                <w:color w:val="000000"/>
                <w:kern w:val="0"/>
                <w:szCs w:val="21"/>
              </w:rPr>
            </w:pPr>
            <w:r>
              <w:rPr>
                <w:rFonts w:ascii="方正仿宋_GB2312" w:hAnsi="方正仿宋_GB2312" w:eastAsia="方正仿宋_GB2312" w:cs="方正仿宋_GB2312"/>
                <w:color w:val="000000"/>
                <w:kern w:val="0"/>
                <w:szCs w:val="21"/>
              </w:rPr>
              <w:t>0</w:t>
            </w:r>
            <w:r>
              <w:rPr>
                <w:rFonts w:hint="eastAsia" w:ascii="方正仿宋_GB2312" w:hAnsi="方正仿宋_GB2312" w:eastAsia="方正仿宋_GB2312" w:cs="方正仿宋_GB2312"/>
                <w:color w:val="000000"/>
                <w:kern w:val="0"/>
                <w:szCs w:val="21"/>
              </w:rPr>
              <w:t>个</w:t>
            </w:r>
          </w:p>
        </w:tc>
        <w:tc>
          <w:tcPr>
            <w:tcW w:w="1440" w:type="dxa"/>
            <w:tcBorders>
              <w:top w:val="nil"/>
              <w:left w:val="nil"/>
              <w:bottom w:val="single" w:color="auto" w:sz="4" w:space="0"/>
              <w:right w:val="single" w:color="auto" w:sz="4" w:space="0"/>
            </w:tcBorders>
            <w:vAlign w:val="center"/>
          </w:tcPr>
          <w:p>
            <w:pPr>
              <w:widowControl/>
              <w:spacing w:line="560" w:lineRule="exact"/>
              <w:rPr>
                <w:rFonts w:ascii="方正仿宋_GB2312" w:hAnsi="方正仿宋_GB2312" w:eastAsia="方正仿宋_GB2312" w:cs="方正仿宋_GB2312"/>
                <w:color w:val="000000"/>
                <w:kern w:val="0"/>
                <w:szCs w:val="21"/>
              </w:rPr>
            </w:pPr>
            <w:r>
              <w:rPr>
                <w:rFonts w:ascii="方正仿宋_GB2312" w:hAnsi="方正仿宋_GB2312" w:eastAsia="方正仿宋_GB2312" w:cs="方正仿宋_GB2312"/>
                <w:color w:val="000000"/>
                <w:kern w:val="0"/>
                <w:szCs w:val="21"/>
              </w:rPr>
              <w:t>1-3</w:t>
            </w:r>
            <w:r>
              <w:rPr>
                <w:rFonts w:hint="eastAsia" w:ascii="方正仿宋_GB2312" w:hAnsi="方正仿宋_GB2312" w:eastAsia="方正仿宋_GB2312" w:cs="方正仿宋_GB2312"/>
                <w:color w:val="000000"/>
                <w:kern w:val="0"/>
                <w:szCs w:val="21"/>
              </w:rPr>
              <w:t>个</w:t>
            </w:r>
          </w:p>
        </w:tc>
        <w:tc>
          <w:tcPr>
            <w:tcW w:w="900" w:type="dxa"/>
            <w:tcBorders>
              <w:top w:val="nil"/>
              <w:left w:val="nil"/>
              <w:bottom w:val="single" w:color="auto" w:sz="4" w:space="0"/>
              <w:right w:val="single" w:color="auto" w:sz="4" w:space="0"/>
            </w:tcBorders>
            <w:vAlign w:val="center"/>
          </w:tcPr>
          <w:p>
            <w:pPr>
              <w:widowControl/>
              <w:spacing w:line="560" w:lineRule="exact"/>
              <w:rPr>
                <w:rFonts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约束性</w:t>
            </w:r>
          </w:p>
        </w:tc>
        <w:tc>
          <w:tcPr>
            <w:tcW w:w="1656" w:type="dxa"/>
            <w:tcBorders>
              <w:top w:val="nil"/>
              <w:left w:val="nil"/>
              <w:bottom w:val="single" w:color="auto" w:sz="4" w:space="0"/>
              <w:right w:val="single" w:color="auto" w:sz="4" w:space="0"/>
            </w:tcBorders>
            <w:vAlign w:val="center"/>
          </w:tcPr>
          <w:p>
            <w:pPr>
              <w:widowControl/>
              <w:spacing w:line="560" w:lineRule="exact"/>
              <w:rPr>
                <w:rFonts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唐君、王志堂</w:t>
            </w:r>
          </w:p>
        </w:tc>
      </w:tr>
    </w:tbl>
    <w:p>
      <w:pPr>
        <w:pStyle w:val="2"/>
        <w:spacing w:line="560" w:lineRule="exact"/>
        <w:rPr>
          <w:rFonts w:ascii="方正仿宋_GB2312" w:hAnsi="方正仿宋_GB2312" w:eastAsia="方正仿宋_GB2312" w:cs="方正仿宋_GB231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方正小标宋简体">
    <w:panose1 w:val="02010601030101010101"/>
    <w:charset w:val="86"/>
    <w:family w:val="auto"/>
    <w:pitch w:val="default"/>
    <w:sig w:usb0="00000001" w:usb1="080E0000" w:usb2="00000000" w:usb3="00000000" w:csb0="00040000" w:csb1="00000000"/>
  </w:font>
  <w:font w:name="方正仿宋_GB2312">
    <w:altName w:val="仿宋"/>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A5B2D"/>
    <w:rsid w:val="00047031"/>
    <w:rsid w:val="000F0EA1"/>
    <w:rsid w:val="001D3172"/>
    <w:rsid w:val="002956CB"/>
    <w:rsid w:val="0033405A"/>
    <w:rsid w:val="00365491"/>
    <w:rsid w:val="00442FED"/>
    <w:rsid w:val="004D37D4"/>
    <w:rsid w:val="00534F21"/>
    <w:rsid w:val="00555B1F"/>
    <w:rsid w:val="005913A2"/>
    <w:rsid w:val="005A5B2D"/>
    <w:rsid w:val="0063191C"/>
    <w:rsid w:val="00631E2F"/>
    <w:rsid w:val="007F5BC7"/>
    <w:rsid w:val="00885758"/>
    <w:rsid w:val="00887F79"/>
    <w:rsid w:val="008924DB"/>
    <w:rsid w:val="008B22DA"/>
    <w:rsid w:val="009D679B"/>
    <w:rsid w:val="00A02D04"/>
    <w:rsid w:val="00A34A6F"/>
    <w:rsid w:val="00A502CD"/>
    <w:rsid w:val="00AD307B"/>
    <w:rsid w:val="00AE067B"/>
    <w:rsid w:val="00B055DE"/>
    <w:rsid w:val="00B24E5E"/>
    <w:rsid w:val="00B65343"/>
    <w:rsid w:val="00BA44CD"/>
    <w:rsid w:val="00BA6E27"/>
    <w:rsid w:val="00BB54EC"/>
    <w:rsid w:val="00BC10F2"/>
    <w:rsid w:val="00C20C49"/>
    <w:rsid w:val="00C24CAB"/>
    <w:rsid w:val="00CD5FBD"/>
    <w:rsid w:val="00CE2603"/>
    <w:rsid w:val="00CF79E9"/>
    <w:rsid w:val="00D37DFB"/>
    <w:rsid w:val="00E33B9F"/>
    <w:rsid w:val="00EF1F46"/>
    <w:rsid w:val="00F24CF1"/>
    <w:rsid w:val="00F62873"/>
    <w:rsid w:val="00FA7AEA"/>
    <w:rsid w:val="01842068"/>
    <w:rsid w:val="0229458A"/>
    <w:rsid w:val="024206FE"/>
    <w:rsid w:val="056238C8"/>
    <w:rsid w:val="05DB6C73"/>
    <w:rsid w:val="069F67B1"/>
    <w:rsid w:val="07207736"/>
    <w:rsid w:val="080229CA"/>
    <w:rsid w:val="089E399E"/>
    <w:rsid w:val="099769F6"/>
    <w:rsid w:val="09B1725B"/>
    <w:rsid w:val="0AA83023"/>
    <w:rsid w:val="0B3A4B3A"/>
    <w:rsid w:val="0C5173D9"/>
    <w:rsid w:val="0D2C2DA1"/>
    <w:rsid w:val="0E395829"/>
    <w:rsid w:val="0ED61ACB"/>
    <w:rsid w:val="0FDA6CE1"/>
    <w:rsid w:val="112D176B"/>
    <w:rsid w:val="12124757"/>
    <w:rsid w:val="123F4884"/>
    <w:rsid w:val="14E60332"/>
    <w:rsid w:val="176814B7"/>
    <w:rsid w:val="18FA7C65"/>
    <w:rsid w:val="194D6915"/>
    <w:rsid w:val="197E010F"/>
    <w:rsid w:val="1BA30471"/>
    <w:rsid w:val="1CE4519C"/>
    <w:rsid w:val="1D5F6F88"/>
    <w:rsid w:val="1D614636"/>
    <w:rsid w:val="1F672074"/>
    <w:rsid w:val="20713011"/>
    <w:rsid w:val="2161086A"/>
    <w:rsid w:val="21DC58C6"/>
    <w:rsid w:val="22521092"/>
    <w:rsid w:val="229E65AE"/>
    <w:rsid w:val="22CF0218"/>
    <w:rsid w:val="24653BD5"/>
    <w:rsid w:val="254155E4"/>
    <w:rsid w:val="25644C8E"/>
    <w:rsid w:val="25DF6C70"/>
    <w:rsid w:val="269525F3"/>
    <w:rsid w:val="286E6C42"/>
    <w:rsid w:val="29A038FC"/>
    <w:rsid w:val="2A154DE0"/>
    <w:rsid w:val="2AA52F1C"/>
    <w:rsid w:val="2AD555C9"/>
    <w:rsid w:val="2B632549"/>
    <w:rsid w:val="2C1B5363"/>
    <w:rsid w:val="2D134331"/>
    <w:rsid w:val="2D3B3EAE"/>
    <w:rsid w:val="2E2B04F2"/>
    <w:rsid w:val="2F026A2B"/>
    <w:rsid w:val="31BF5F2E"/>
    <w:rsid w:val="343A166F"/>
    <w:rsid w:val="34444C99"/>
    <w:rsid w:val="34BC7E3C"/>
    <w:rsid w:val="354E6380"/>
    <w:rsid w:val="36057443"/>
    <w:rsid w:val="36C25EFA"/>
    <w:rsid w:val="372047B5"/>
    <w:rsid w:val="37C95F72"/>
    <w:rsid w:val="37F626A0"/>
    <w:rsid w:val="38AA5B0E"/>
    <w:rsid w:val="39283AFB"/>
    <w:rsid w:val="3AAB3C2B"/>
    <w:rsid w:val="3B036B53"/>
    <w:rsid w:val="3B735691"/>
    <w:rsid w:val="3C0412DC"/>
    <w:rsid w:val="3C8D7CA4"/>
    <w:rsid w:val="3CA101C2"/>
    <w:rsid w:val="3DCD535F"/>
    <w:rsid w:val="3E35135A"/>
    <w:rsid w:val="3F0A0EBD"/>
    <w:rsid w:val="3FC76D28"/>
    <w:rsid w:val="40B7268B"/>
    <w:rsid w:val="41AA63AB"/>
    <w:rsid w:val="42843097"/>
    <w:rsid w:val="42AD7F5D"/>
    <w:rsid w:val="43B00D65"/>
    <w:rsid w:val="43C23112"/>
    <w:rsid w:val="43EA04BF"/>
    <w:rsid w:val="442257E5"/>
    <w:rsid w:val="442758F2"/>
    <w:rsid w:val="44483B23"/>
    <w:rsid w:val="45C52C88"/>
    <w:rsid w:val="471B7216"/>
    <w:rsid w:val="47D30827"/>
    <w:rsid w:val="4842733F"/>
    <w:rsid w:val="48990C90"/>
    <w:rsid w:val="49BE20F8"/>
    <w:rsid w:val="4B2E415F"/>
    <w:rsid w:val="4BFA0154"/>
    <w:rsid w:val="4C664A55"/>
    <w:rsid w:val="4C76734F"/>
    <w:rsid w:val="4D151FF2"/>
    <w:rsid w:val="4D9628DE"/>
    <w:rsid w:val="4E183467"/>
    <w:rsid w:val="4EF611DE"/>
    <w:rsid w:val="4FD22F4B"/>
    <w:rsid w:val="51EF5285"/>
    <w:rsid w:val="52C777B9"/>
    <w:rsid w:val="53ED361A"/>
    <w:rsid w:val="54BB79F3"/>
    <w:rsid w:val="591E3C01"/>
    <w:rsid w:val="5C911DDE"/>
    <w:rsid w:val="5C9D71A4"/>
    <w:rsid w:val="5E50193A"/>
    <w:rsid w:val="5EE818FA"/>
    <w:rsid w:val="5F143D46"/>
    <w:rsid w:val="5F7B6F59"/>
    <w:rsid w:val="5FF52FFE"/>
    <w:rsid w:val="608742D8"/>
    <w:rsid w:val="6099665B"/>
    <w:rsid w:val="60EA4966"/>
    <w:rsid w:val="61CF0FD8"/>
    <w:rsid w:val="62024913"/>
    <w:rsid w:val="634504AE"/>
    <w:rsid w:val="63CA5C50"/>
    <w:rsid w:val="662E0B2A"/>
    <w:rsid w:val="663E491F"/>
    <w:rsid w:val="664B2152"/>
    <w:rsid w:val="67644FB8"/>
    <w:rsid w:val="67CF0C62"/>
    <w:rsid w:val="683A23B3"/>
    <w:rsid w:val="6860632B"/>
    <w:rsid w:val="68A73796"/>
    <w:rsid w:val="68E5367B"/>
    <w:rsid w:val="69C43E44"/>
    <w:rsid w:val="6B114144"/>
    <w:rsid w:val="6BA239A4"/>
    <w:rsid w:val="6BFF7B5E"/>
    <w:rsid w:val="6E6379BB"/>
    <w:rsid w:val="6FC01F2A"/>
    <w:rsid w:val="700C0B44"/>
    <w:rsid w:val="70807D87"/>
    <w:rsid w:val="722950BF"/>
    <w:rsid w:val="73507FEF"/>
    <w:rsid w:val="74084524"/>
    <w:rsid w:val="74AD45B2"/>
    <w:rsid w:val="75725B12"/>
    <w:rsid w:val="79B63E91"/>
    <w:rsid w:val="7A262725"/>
    <w:rsid w:val="7A382E8C"/>
    <w:rsid w:val="7AF32DA6"/>
    <w:rsid w:val="7B8E0B95"/>
    <w:rsid w:val="7BFD7F37"/>
    <w:rsid w:val="7DC378C4"/>
    <w:rsid w:val="7DEF01E5"/>
    <w:rsid w:val="7DF246E5"/>
    <w:rsid w:val="7E4362EC"/>
    <w:rsid w:val="7E4B2BDB"/>
    <w:rsid w:val="7ED2558D"/>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name="Hyperlink"/>
    <w:lsdException w:qFormat="1" w:unhideWhenUsed="0" w:uiPriority="99" w:name="FollowedHyperlink"/>
    <w:lsdException w:qFormat="1" w:unhideWhenUsed="0" w:uiPriority="99" w:semiHidden="0" w:name="Strong"/>
    <w:lsdException w:qFormat="1" w:unhideWhenUsed="0" w:uiPriority="99" w:semiHidden="0" w:name="Emphasis"/>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99"/>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3"/>
    <w:qFormat/>
    <w:uiPriority w:val="99"/>
    <w:pPr>
      <w:spacing w:after="120"/>
    </w:pPr>
  </w:style>
  <w:style w:type="paragraph" w:styleId="3">
    <w:name w:val="annotation text"/>
    <w:basedOn w:val="1"/>
    <w:link w:val="14"/>
    <w:semiHidden/>
    <w:qFormat/>
    <w:uiPriority w:val="99"/>
    <w:pPr>
      <w:jc w:val="left"/>
    </w:pPr>
  </w:style>
  <w:style w:type="paragraph" w:styleId="4">
    <w:name w:val="footer"/>
    <w:basedOn w:val="1"/>
    <w:link w:val="15"/>
    <w:qFormat/>
    <w:uiPriority w:val="99"/>
    <w:pPr>
      <w:tabs>
        <w:tab w:val="center" w:pos="4153"/>
        <w:tab w:val="right" w:pos="8306"/>
      </w:tabs>
      <w:snapToGrid w:val="0"/>
      <w:jc w:val="left"/>
    </w:pPr>
    <w:rPr>
      <w:sz w:val="18"/>
      <w:szCs w:val="18"/>
    </w:rPr>
  </w:style>
  <w:style w:type="paragraph" w:styleId="5">
    <w:name w:val="header"/>
    <w:basedOn w:val="1"/>
    <w:link w:val="16"/>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qFormat/>
    <w:uiPriority w:val="99"/>
    <w:pPr>
      <w:spacing w:beforeAutospacing="1" w:afterAutospacing="1"/>
      <w:jc w:val="left"/>
    </w:pPr>
    <w:rPr>
      <w:kern w:val="0"/>
      <w:sz w:val="24"/>
    </w:rPr>
  </w:style>
  <w:style w:type="character" w:styleId="9">
    <w:name w:val="Strong"/>
    <w:basedOn w:val="8"/>
    <w:qFormat/>
    <w:uiPriority w:val="99"/>
    <w:rPr>
      <w:rFonts w:cs="Times New Roman"/>
      <w:b/>
    </w:rPr>
  </w:style>
  <w:style w:type="character" w:styleId="10">
    <w:name w:val="FollowedHyperlink"/>
    <w:basedOn w:val="8"/>
    <w:semiHidden/>
    <w:qFormat/>
    <w:uiPriority w:val="99"/>
    <w:rPr>
      <w:rFonts w:cs="Times New Roman"/>
      <w:color w:val="333333"/>
      <w:u w:val="none"/>
    </w:rPr>
  </w:style>
  <w:style w:type="character" w:styleId="11">
    <w:name w:val="Emphasis"/>
    <w:basedOn w:val="8"/>
    <w:qFormat/>
    <w:uiPriority w:val="99"/>
    <w:rPr>
      <w:rFonts w:cs="Times New Roman"/>
    </w:rPr>
  </w:style>
  <w:style w:type="character" w:styleId="12">
    <w:name w:val="Hyperlink"/>
    <w:basedOn w:val="8"/>
    <w:semiHidden/>
    <w:qFormat/>
    <w:uiPriority w:val="99"/>
    <w:rPr>
      <w:rFonts w:cs="Times New Roman"/>
      <w:color w:val="333333"/>
      <w:u w:val="none"/>
    </w:rPr>
  </w:style>
  <w:style w:type="character" w:customStyle="1" w:styleId="13">
    <w:name w:val="Body Text Char"/>
    <w:basedOn w:val="8"/>
    <w:link w:val="2"/>
    <w:semiHidden/>
    <w:qFormat/>
    <w:uiPriority w:val="99"/>
    <w:rPr>
      <w:rFonts w:ascii="Calibri" w:hAnsi="Calibri"/>
      <w:szCs w:val="24"/>
    </w:rPr>
  </w:style>
  <w:style w:type="character" w:customStyle="1" w:styleId="14">
    <w:name w:val="Comment Text Char"/>
    <w:basedOn w:val="8"/>
    <w:link w:val="3"/>
    <w:semiHidden/>
    <w:qFormat/>
    <w:uiPriority w:val="99"/>
    <w:rPr>
      <w:rFonts w:ascii="Calibri" w:hAnsi="Calibri"/>
      <w:szCs w:val="24"/>
    </w:rPr>
  </w:style>
  <w:style w:type="character" w:customStyle="1" w:styleId="15">
    <w:name w:val="Footer Char"/>
    <w:basedOn w:val="8"/>
    <w:link w:val="4"/>
    <w:qFormat/>
    <w:locked/>
    <w:uiPriority w:val="99"/>
    <w:rPr>
      <w:rFonts w:ascii="Calibri" w:hAnsi="Calibri" w:eastAsia="宋体" w:cs="Times New Roman"/>
      <w:sz w:val="18"/>
      <w:szCs w:val="18"/>
    </w:rPr>
  </w:style>
  <w:style w:type="character" w:customStyle="1" w:styleId="16">
    <w:name w:val="Header Char"/>
    <w:basedOn w:val="8"/>
    <w:link w:val="5"/>
    <w:qFormat/>
    <w:locked/>
    <w:uiPriority w:val="99"/>
    <w:rPr>
      <w:rFonts w:ascii="Calibri" w:hAnsi="Calibri" w:eastAsia="宋体" w:cs="Times New Roman"/>
      <w:sz w:val="18"/>
      <w:szCs w:val="18"/>
    </w:rPr>
  </w:style>
  <w:style w:type="paragraph" w:styleId="17">
    <w:name w:val="List Paragraph"/>
    <w:basedOn w:val="1"/>
    <w:qFormat/>
    <w:uiPriority w:val="99"/>
    <w:pPr>
      <w:ind w:firstLine="420" w:firstLineChars="200"/>
    </w:pPr>
  </w:style>
  <w:style w:type="character" w:customStyle="1" w:styleId="18">
    <w:name w:val="vie"/>
    <w:basedOn w:val="8"/>
    <w:qFormat/>
    <w:uiPriority w:val="99"/>
    <w:rPr>
      <w:rFonts w:cs="Times New Roman"/>
    </w:rPr>
  </w:style>
  <w:style w:type="character" w:customStyle="1" w:styleId="19">
    <w:name w:val="time"/>
    <w:basedOn w:val="8"/>
    <w:qFormat/>
    <w:uiPriority w:val="99"/>
    <w:rPr>
      <w:rFonts w:cs="Times New Roman"/>
    </w:rPr>
  </w:style>
  <w:style w:type="character" w:customStyle="1" w:styleId="20">
    <w:name w:val="time1"/>
    <w:basedOn w:val="8"/>
    <w:qFormat/>
    <w:uiPriority w:val="99"/>
    <w:rPr>
      <w:rFonts w:cs="Times New Roman"/>
      <w:color w:val="969696"/>
      <w:sz w:val="21"/>
      <w:szCs w:val="21"/>
    </w:rPr>
  </w:style>
  <w:style w:type="paragraph" w:customStyle="1" w:styleId="21">
    <w:name w:val="_Style 16"/>
    <w:basedOn w:val="1"/>
    <w:next w:val="1"/>
    <w:qFormat/>
    <w:uiPriority w:val="99"/>
    <w:pPr>
      <w:pBdr>
        <w:bottom w:val="single" w:color="auto" w:sz="6" w:space="1"/>
      </w:pBdr>
      <w:jc w:val="center"/>
    </w:pPr>
    <w:rPr>
      <w:rFonts w:ascii="Arial"/>
      <w:vanish/>
      <w:sz w:val="16"/>
    </w:rPr>
  </w:style>
  <w:style w:type="paragraph" w:customStyle="1" w:styleId="22">
    <w:name w:val="_Style 17"/>
    <w:basedOn w:val="1"/>
    <w:next w:val="1"/>
    <w:qFormat/>
    <w:uiPriority w:val="99"/>
    <w:pPr>
      <w:pBdr>
        <w:top w:val="single" w:color="auto" w:sz="6" w:space="1"/>
      </w:pBdr>
      <w:jc w:val="center"/>
    </w:pPr>
    <w:rPr>
      <w:rFonts w:ascii="Arial"/>
      <w:vanish/>
      <w:sz w:val="16"/>
    </w:rPr>
  </w:style>
  <w:style w:type="paragraph" w:customStyle="1" w:styleId="23">
    <w:name w:val="msonormalcxspmiddle"/>
    <w:basedOn w:val="1"/>
    <w:qFormat/>
    <w:uiPriority w:val="99"/>
    <w:pPr>
      <w:widowControl/>
      <w:adjustRightInd w:val="0"/>
      <w:snapToGrid w:val="0"/>
      <w:spacing w:before="100" w:beforeAutospacing="1" w:after="100" w:afterAutospacing="1" w:line="360" w:lineRule="auto"/>
      <w:ind w:firstLine="200" w:firstLineChars="200"/>
      <w:jc w:val="left"/>
    </w:pPr>
    <w:rPr>
      <w:rFonts w:ascii="宋体" w:hAnsi="宋体" w:cs="宋体"/>
      <w:kern w:val="0"/>
      <w:sz w:val="24"/>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theme" Target="theme/theme1.xml"/>
  <Relationship Id="rId4" Type="http://schemas.openxmlformats.org/officeDocument/2006/relationships/customXml" Target="../customXml/item1.xml"/>
  <Relationship Id="rId5"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10</Pages>
  <Words>745</Words>
  <Characters>4253</Characters>
  <Lines>0</Lines>
  <Paragraphs>0</Paragraphs>
  <TotalTime>30</TotalTime>
  <ScaleCrop>false</ScaleCrop>
  <LinksUpToDate>false</LinksUpToDate>
  <CharactersWithSpaces>0</CharactersWithSpaces>
  <Application>WPS Office_11.1.0.11115_F1E327BC-269C-435d-A152-05C5408002CA</Application>
  <DocSecurity>0</DocSecurity>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2021-10-19T12:05:00Z</dcterms:created>
  <dc:creator>zhu815113206@outlook.com</dc:creator>
  <lastModifiedBy>黑雨</lastModifiedBy>
  <dcterms:modified xsi:type="dcterms:W3CDTF">2021-11-22T10:12:49Z</dcterms:modified>
  <revision>30</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E72E54250AB8474C89BA1B0F9B78EE16</vt:lpwstr>
  </property>
  <property fmtid="{D5CDD505-2E9C-101B-9397-08002B2CF9AE}" pid="4" name="KSOSaveFontToCloudKey">
    <vt:lpwstr>361902521_btnclosed</vt:lpwstr>
  </property>
</Properties>
</file>