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40" w:lineRule="exact"/>
        <w:jc w:val="center"/>
        <w:textAlignment w:val="baseline"/>
        <w:rPr>
          <w:rFonts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湖南科技学院</w:t>
      </w:r>
    </w:p>
    <w:p>
      <w:pPr>
        <w:pStyle w:val="3"/>
        <w:keepNext/>
        <w:keepLines/>
        <w:pageBreakBefore w:val="0"/>
        <w:widowControl w:val="0"/>
        <w:kinsoku/>
        <w:wordWrap/>
        <w:overflowPunct/>
        <w:topLinePunct w:val="0"/>
        <w:autoSpaceDE/>
        <w:autoSpaceDN/>
        <w:bidi w:val="0"/>
        <w:adjustRightInd/>
        <w:snapToGrid/>
        <w:spacing w:line="540" w:lineRule="exact"/>
        <w:jc w:val="center"/>
        <w:textAlignment w:val="baseline"/>
        <w:rPr>
          <w:rFonts w:hint="eastAsia" w:ascii="方正小标宋简体" w:hAnsi="宋体" w:eastAsia="方正小标宋简体" w:cs="Times New Roman"/>
          <w:b w:val="0"/>
          <w:bCs w:val="0"/>
          <w:sz w:val="44"/>
          <w:szCs w:val="44"/>
        </w:rPr>
      </w:pPr>
      <w:r>
        <w:rPr>
          <w:rFonts w:hint="eastAsia" w:ascii="方正小标宋简体" w:hAnsi="宋体" w:eastAsia="方正小标宋简体" w:cs="Times New Roman"/>
          <w:b w:val="0"/>
          <w:bCs w:val="0"/>
          <w:sz w:val="44"/>
          <w:szCs w:val="44"/>
        </w:rPr>
        <w:t>开放办学“十四五”建设与发展规划</w:t>
      </w:r>
    </w:p>
    <w:p>
      <w:pPr>
        <w:pageBreakBefore w:val="0"/>
        <w:widowControl w:val="0"/>
        <w:kinsoku/>
        <w:wordWrap/>
        <w:overflowPunct/>
        <w:topLinePunct w:val="0"/>
        <w:autoSpaceDE/>
        <w:autoSpaceDN/>
        <w:bidi w:val="0"/>
        <w:spacing w:line="540" w:lineRule="exact"/>
      </w:pPr>
    </w:p>
    <w:p>
      <w:pPr>
        <w:pageBreakBefore w:val="0"/>
        <w:widowControl w:val="0"/>
        <w:kinsoku/>
        <w:wordWrap/>
        <w:overflowPunct/>
        <w:topLinePunct w:val="0"/>
        <w:autoSpaceDE/>
        <w:autoSpaceDN/>
        <w:bidi w:val="0"/>
        <w:adjustRightInd/>
        <w:snapToGrid/>
        <w:spacing w:line="54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为深入贯彻《中国教育现代化</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国家教育事业发展“十四五”规划纲要》精神，结合教育部中国高等教育国际化发展状况调查涉及相关指标，深化国际化人才培养模式改革，提升开放办学水平，根据学校“建设特色鲜明的地方性高水平应用型大学”的总目标，紧紧围绕“地方性、应用型、有特色”的办学定位，着力推进师生对外交流、中外合作办学、国际学生教育等重点工作，努力开创学校开放办学发展新局面，特制定本规划。</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一、建设发展现状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与国（境）外学术交流与合作成效显著。</w:t>
      </w:r>
      <w:r>
        <w:rPr>
          <w:rFonts w:hint="eastAsia" w:ascii="仿宋_GB2312" w:hAnsi="仿宋_GB2312" w:eastAsia="仿宋_GB2312" w:cs="仿宋_GB2312"/>
          <w:sz w:val="32"/>
          <w:szCs w:val="32"/>
        </w:rPr>
        <w:t>积极拓展渠道与国（境）外高水平大学和科研机构建立合作，在教师交流、学生培养、学术合作等方面利用好国（境）外教育资源，推动学校内涵发展。目前与我校建立中长期合作的国（境）高校及科研机构达</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所。我校与美国圣约翰大学联合共建的“中美多肽药物研究联合实验室”</w:t>
      </w:r>
      <w:r>
        <w:rPr>
          <w:rFonts w:hint="eastAsia" w:ascii="仿宋_GB2312" w:hAnsi="仿宋_GB2312" w:eastAsia="仿宋_GB2312" w:cs="仿宋_GB2312"/>
          <w:sz w:val="32"/>
          <w:szCs w:val="32"/>
          <w:lang w:eastAsia="zh-CN"/>
        </w:rPr>
        <w:t>极大地推动了</w:t>
      </w:r>
      <w:r>
        <w:rPr>
          <w:rFonts w:hint="eastAsia" w:ascii="仿宋_GB2312" w:hAnsi="仿宋_GB2312" w:eastAsia="仿宋_GB2312" w:cs="仿宋_GB2312"/>
          <w:sz w:val="32"/>
          <w:szCs w:val="32"/>
        </w:rPr>
        <w:t>国内相关研究领域发展。</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应用型人才培养迈上新台阶。</w:t>
      </w:r>
      <w:r>
        <w:rPr>
          <w:rFonts w:hint="eastAsia" w:ascii="仿宋_GB2312" w:hAnsi="仿宋_GB2312" w:eastAsia="仿宋_GB2312" w:cs="仿宋_GB2312"/>
          <w:sz w:val="32"/>
          <w:szCs w:val="32"/>
        </w:rPr>
        <w:t>学生</w:t>
      </w:r>
      <w:r>
        <w:rPr>
          <w:rFonts w:ascii="仿宋_GB2312" w:hAnsi="仿宋_GB2312" w:eastAsia="仿宋_GB2312" w:cs="仿宋_GB2312"/>
          <w:sz w:val="32"/>
          <w:szCs w:val="32"/>
        </w:rPr>
        <w:t>153</w:t>
      </w:r>
      <w:r>
        <w:rPr>
          <w:rFonts w:hint="eastAsia" w:ascii="仿宋_GB2312" w:hAnsi="仿宋_GB2312" w:eastAsia="仿宋_GB2312" w:cs="仿宋_GB2312"/>
          <w:sz w:val="32"/>
          <w:szCs w:val="32"/>
        </w:rPr>
        <w:t>人次通过校际交流、赴国外社会实践等项目赴国（境）外交流</w:t>
      </w:r>
      <w:bookmarkStart w:id="0" w:name="_GoBack"/>
      <w:bookmarkEnd w:id="0"/>
      <w:r>
        <w:rPr>
          <w:rFonts w:hint="eastAsia" w:ascii="仿宋_GB2312" w:hAnsi="仿宋_GB2312" w:eastAsia="仿宋_GB2312" w:cs="仿宋_GB2312"/>
          <w:sz w:val="32"/>
          <w:szCs w:val="32"/>
        </w:rPr>
        <w:t>；加强与美国布卢姆菲尔德学院的交流与沟通，积极筹备我校视觉传达设计专业申报中外合作办学。</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国际师资队伍建设有新进展。</w:t>
      </w:r>
      <w:r>
        <w:rPr>
          <w:rFonts w:hint="eastAsia" w:ascii="仿宋_GB2312" w:hAnsi="仿宋_GB2312" w:eastAsia="仿宋_GB2312" w:cs="仿宋_GB2312"/>
          <w:sz w:val="32"/>
          <w:szCs w:val="32"/>
        </w:rPr>
        <w:t>加大对教师与学生的培养与交流，“十三五”期间我校共派出教师</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人次赴国（境）外交流，另有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余名专业教师赴国外高校攻读博士学位；依托湖南省“海外名师”项目，分别聘请美国尼亚加拉大学、德国安哈尔特应用技术大学专家作为我校“海外名师”来校进行讲学与学术交流，提升了相关专业师生的学术热情和专业水平；同期，有</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人次外籍教师在校任教，另有近</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名外籍专家来校交流讲学。</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4. </w:t>
      </w:r>
      <w:r>
        <w:rPr>
          <w:rFonts w:hint="eastAsia" w:ascii="仿宋_GB2312" w:hAnsi="仿宋_GB2312" w:eastAsia="仿宋_GB2312" w:cs="仿宋_GB2312"/>
          <w:b/>
          <w:bCs/>
          <w:sz w:val="32"/>
          <w:szCs w:val="32"/>
        </w:rPr>
        <w:t>来华留学生教育实现新突破。</w:t>
      </w:r>
      <w:r>
        <w:rPr>
          <w:rFonts w:hint="eastAsia" w:ascii="仿宋_GB2312" w:hAnsi="仿宋_GB2312" w:eastAsia="仿宋_GB2312" w:cs="仿宋_GB2312"/>
          <w:sz w:val="32"/>
          <w:szCs w:val="32"/>
        </w:rPr>
        <w:t>积极开展“一带一路”沿线国家来华留学生招生与教学工作，目前累计招收来华留学生四批共</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人，学生分别来自俄罗斯、泰国、阿尔及利亚、蒙古、老挝、津巴布韦等</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个“一带一路”沿线国家。</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办学影响力和竞争力大幅提升。</w:t>
      </w:r>
      <w:r>
        <w:rPr>
          <w:rFonts w:hint="eastAsia" w:ascii="仿宋_GB2312" w:hAnsi="仿宋_GB2312" w:eastAsia="仿宋_GB2312" w:cs="仿宋_GB2312"/>
          <w:sz w:val="32"/>
          <w:szCs w:val="32"/>
        </w:rPr>
        <w:t>学校成为教育部“人文交流经世项目”首批“经世国际学院”入选院校；积极筹备与美国布卢姆菲尔德学院就视觉传达设计专业申报中外合作办学；与永州市共同举办国台办立项的两岸青年大学生文化交流项目，取得良好社会效应和统战效果，促进了两岸青年交流和文化认同；充分发掘国外高校教育资源，积极与“一带一路”沿线国家友好合作高校共同探索合作机制，与菲律宾莱西姆大学共同举办的“中菲高校国际文化周”项目参选湖南省教育对外开放典型案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合作高校结构与布局不合理。</w:t>
      </w:r>
      <w:r>
        <w:rPr>
          <w:rFonts w:hint="eastAsia" w:ascii="仿宋_GB2312" w:hAnsi="仿宋_GB2312" w:eastAsia="仿宋_GB2312" w:cs="仿宋_GB2312"/>
          <w:sz w:val="32"/>
          <w:szCs w:val="32"/>
        </w:rPr>
        <w:t>合作高校数量不够，布局不合理，与教育发达国家地区的合作高校和机构少、合作深度还有待加强。现有与我校建立合作关系有效的高校或科研机构共计</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所，其中美国、英国、德国等教育优势资源国家合作高校及机构只有</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所，而实际开展师生合作的仅有</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所，且高校</w:t>
      </w:r>
      <w:r>
        <w:rPr>
          <w:rFonts w:ascii="仿宋_GB2312" w:hAnsi="仿宋_GB2312" w:eastAsia="仿宋_GB2312" w:cs="仿宋_GB2312"/>
          <w:sz w:val="32"/>
          <w:szCs w:val="32"/>
        </w:rPr>
        <w:t>QS</w:t>
      </w:r>
      <w:r>
        <w:rPr>
          <w:rFonts w:hint="eastAsia" w:ascii="仿宋_GB2312" w:hAnsi="仿宋_GB2312" w:eastAsia="仿宋_GB2312" w:cs="仿宋_GB2312"/>
          <w:sz w:val="32"/>
          <w:szCs w:val="32"/>
        </w:rPr>
        <w:t>世界排名靠后，其余合作高校及机构</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所均为“一带一路”沿线国家，其中实际开展师生合作的仅有</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所。</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引智工程数量和质量上有待提升。</w:t>
      </w:r>
      <w:r>
        <w:rPr>
          <w:rFonts w:hint="eastAsia" w:ascii="仿宋_GB2312" w:hAnsi="仿宋_GB2312" w:eastAsia="仿宋_GB2312" w:cs="仿宋_GB2312"/>
          <w:sz w:val="32"/>
          <w:szCs w:val="32"/>
        </w:rPr>
        <w:t>学校地处湘西南边陲，对外沟通交流先天条件不足，加之地方财政支持力度有限，在高层次外籍教师聘请、中外交流项目开展方面存在较大劣势，在推动高层次中外交流项目开展方面还存在较大困难。</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师生出国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研修、学习交流支持力度有待进一步加强。</w:t>
      </w:r>
      <w:r>
        <w:rPr>
          <w:rFonts w:hint="eastAsia" w:ascii="仿宋_GB2312" w:hAnsi="仿宋_GB2312" w:eastAsia="仿宋_GB2312" w:cs="仿宋_GB2312"/>
          <w:sz w:val="32"/>
          <w:szCs w:val="32"/>
        </w:rPr>
        <w:t>我校出台了《湖南科技学院选送教职员工攻读委培博士相关规定》，探索教师出国（境）研修提升学历的渠道。目前虽参加委托项目的教师逐年增多，但后续财政政策扶持力度不够，获得博士学位返校后顺利完成合同服务期的人数并没有预期大幅增长，人才流出现象严重。学生出国交流增长乏力，</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年里出访学生</w:t>
      </w:r>
      <w:r>
        <w:rPr>
          <w:rFonts w:ascii="仿宋_GB2312" w:hAnsi="仿宋_GB2312" w:eastAsia="仿宋_GB2312" w:cs="仿宋_GB2312"/>
          <w:sz w:val="32"/>
          <w:szCs w:val="32"/>
        </w:rPr>
        <w:t>153</w:t>
      </w:r>
      <w:r>
        <w:rPr>
          <w:rFonts w:hint="eastAsia" w:ascii="仿宋_GB2312" w:hAnsi="仿宋_GB2312" w:eastAsia="仿宋_GB2312" w:cs="仿宋_GB2312"/>
          <w:sz w:val="32"/>
          <w:szCs w:val="32"/>
        </w:rPr>
        <w:t>人次，相较于我校</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万在校学生的规模，学生出访规模不到百分之一。教师公派出国研修</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个月以上人数屈指可数，五年国家公派项目立项仅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人，研修</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个月和研修</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个月各仅</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来华留学生教育有待进一步提质增效。</w:t>
      </w:r>
      <w:r>
        <w:rPr>
          <w:rFonts w:hint="eastAsia" w:ascii="仿宋_GB2312" w:hAnsi="仿宋_GB2312" w:eastAsia="仿宋_GB2312" w:cs="仿宋_GB2312"/>
          <w:sz w:val="32"/>
          <w:szCs w:val="32"/>
        </w:rPr>
        <w:t>来华留学生教学管理虽然初具成效，但教学效果还与培养方案存在差距，“一带一路”汉语语言学生的汉语水平四级测试通过率不到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。来华留学生教育还面临着管理理念陈旧、生源质量较低、部门间协同不足、工作队伍建设乏力、思想教育薄弱等困境。</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二级学院的国际交流意识待进一步提升。</w:t>
      </w:r>
      <w:r>
        <w:rPr>
          <w:rFonts w:hint="eastAsia" w:ascii="仿宋_GB2312" w:hAnsi="仿宋_GB2312" w:eastAsia="仿宋_GB2312" w:cs="仿宋_GB2312"/>
          <w:sz w:val="32"/>
          <w:szCs w:val="32"/>
        </w:rPr>
        <w:t>申硕、高等教育质量监测指标体系中，对教师和学生出国（境）交流有相应要求，从促进教师队伍建设、学生人才培养需要来看，二级学院亟待进一步提升国际交流意识。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过长期努力，中国特色社会主义进入了新时代，中国在世界发展格局中的作用日益凸显。中国高等教育正逐渐走向世界高等教育的中心，承担着教育强国的重任。“十四五”时期，国家创新发展和产业升级对高水平国际化人才的迫切需求前所未有，后疫情时代高等教育的发展面临着巨大机遇和挑战。扎实稳步推进高等教育国际化发展是实现高等教育现代化、培养国际化人才的必由之路。</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面临的机遇</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扩大教育开放的需求。习近平总书记曾在全国教育大会上提出“要扩大教育开放，同世界一流资源开展高水平合作办学”。《中国教育现代化</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》、《关于加快和扩大新时代教育对外开放的意见》明确指出，要坚持教育对外开放不动摇，形成更加主动的教育对外开放局面。</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地方经济社会发展需求。高等教育国际化不仅要立足于服务国家发展战略，讲好“中国故事”，更应该关注为区域和地方经济社会发展服务，讲好“永州故事”。学校作为地方高校，要抓住永州市“十四五”全力打造“三个高地”的战略发展机遇，扎根永州，服务地方，积极支持永州区域经济和社会发展，为地方经济与社会发展培养具有全球视野和国际竞争力的实用人才。</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面临的挑战</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新冠肺炎疫情对全球高等教育交流造成巨大影响，对我国高等教育国际化健康持续发展带来了前所未有的挑战。全球</w:t>
      </w:r>
      <w:r>
        <w:rPr>
          <w:rFonts w:ascii="仿宋_GB2312" w:hAnsi="仿宋_GB2312" w:eastAsia="仿宋_GB2312" w:cs="仿宋_GB2312"/>
          <w:sz w:val="32"/>
          <w:szCs w:val="32"/>
        </w:rPr>
        <w:t>190</w:t>
      </w:r>
      <w:r>
        <w:rPr>
          <w:rFonts w:hint="eastAsia" w:ascii="仿宋_GB2312" w:hAnsi="仿宋_GB2312" w:eastAsia="仿宋_GB2312" w:cs="仿宋_GB2312"/>
          <w:sz w:val="32"/>
          <w:szCs w:val="32"/>
        </w:rPr>
        <w:t>多个国家，将近</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亿学生的就学与就读不同程度受到了由于学校封闭及线下停课所带来的影响。疫情时期人员跨国流动将持续受限，学术交流困难重重；疫情时期评估在线教学效果、提升教学质量的有效措施不足，国际化人才培养教学效果大打折扣；后疫情时期来华留学需求人数经积压会有大幅提升，但教学的专业结构、师资队伍、课程体系、跨国合作等方面本土开放办学准备还远不够充分。</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二、指导思想与建设目标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全面贯彻党的十九大和十九届二中、三中、四中、五中全会精神以及党的教育方针，坚持以习近平新时代中国特色社会主义思想为指导，深入落实习近平总书记关于教育的系列重要论述，特别是在湖南考察调研时的重要讲话指示精神，牢牢遵循高等教育国际化的发展规律，紧紧围绕建设地方性高水平应用型大学的办学目标，实施全方位开放办学发展战略，不断创新开放办学机制，开创学校开放办学发展的新局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（二）建设目标</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总体目标</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实施高等教育与国际接轨战略，不断提高学校在国际上的知名度和影响力；在学校现有国际交流合作基本构架基础上，结合教育部共建“一带一路”教育行动计划，重点推进与“一带一路”沿线国家教育交流与合作；建立国际交流校院两级联动管理和运行机制，学校层面负责搭建国际交流平台，并进行整体规划协调，学院大力支持学校开放平台搭建并承担具体管理工作；以具体项目为依托，力争在高层次人才联合培养、国际科研合作项目、合作办学及国际教育规模等方面取得重大进展，整体提升我校开放办学水平。</w:t>
      </w:r>
    </w:p>
    <w:p>
      <w:pPr>
        <w:pageBreakBefore w:val="0"/>
        <w:widowControl w:val="0"/>
        <w:kinsoku/>
        <w:wordWrap/>
        <w:overflowPunct/>
        <w:topLinePunct w:val="0"/>
        <w:autoSpaceDE/>
        <w:autoSpaceDN/>
        <w:bidi w:val="0"/>
        <w:spacing w:line="540" w:lineRule="exact"/>
        <w:ind w:firstLine="723" w:firstLineChars="225"/>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具体发展目标</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搭建国际科研合作平台，充分发挥二级学院在开放办学师资队伍建设、开放办学人才培养等方面的主动性与创造性，探索建立与完善校院两级外事管理机制；实施中青年教师（包含专任教师与教学管理人员）海外研修计划，争取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年，专任教师中具有海外研修经历的比例达到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以上；全力争取我校中外合作办学项目落地，项目在校生规模达到</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人左右；深入拓展与“一带一路”沿线国家的教育交流合作，力争到“十四五”末新增与“一带一路”国家签署合作协议高校达到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所以上；大力发展来华留学生教育，十四五期间来华留学生招生培养人数</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人左右；推进学校教育教学国际交流，师生互访交流常态化，为全面建成特色鲜明的地方性高水平应用型大学提供有力支撑，学校国际竞争力日益增强。</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三、主要任务与举措</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（一）拓展校际交流，构建交流促进体系</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加大与教育优势资源国家和“一带一路”沿线国家高校合作力度和深度。</w:t>
      </w:r>
      <w:r>
        <w:rPr>
          <w:rFonts w:hint="eastAsia" w:ascii="仿宋_GB2312" w:hAnsi="仿宋_GB2312" w:eastAsia="仿宋_GB2312" w:cs="仿宋_GB2312"/>
          <w:sz w:val="32"/>
          <w:szCs w:val="32"/>
        </w:rPr>
        <w:t>建立更广泛的国（境）外高校合作，为全校师生出国（境）交流提供畅通渠道。在现有合作高校和机构</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所基础上，力争“十四五”期间新增建立合作国（境）外高校</w:t>
      </w:r>
      <w:r>
        <w:rPr>
          <w:rFonts w:ascii="仿宋_GB2312" w:hAnsi="仿宋_GB2312" w:eastAsia="仿宋_GB2312" w:cs="仿宋_GB2312"/>
          <w:sz w:val="32"/>
          <w:szCs w:val="32"/>
        </w:rPr>
        <w:t>15-20</w:t>
      </w:r>
      <w:r>
        <w:rPr>
          <w:rFonts w:hint="eastAsia" w:ascii="仿宋_GB2312" w:hAnsi="仿宋_GB2312" w:eastAsia="仿宋_GB2312" w:cs="仿宋_GB2312"/>
          <w:sz w:val="32"/>
          <w:szCs w:val="32"/>
        </w:rPr>
        <w:t>所，达到国（境）外合作高校</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所，并深化合作。</w:t>
      </w:r>
    </w:p>
    <w:p>
      <w:pPr>
        <w:pageBreakBefore w:val="0"/>
        <w:widowControl w:val="0"/>
        <w:kinsoku/>
        <w:wordWrap/>
        <w:overflowPunct/>
        <w:topLinePunct w:val="0"/>
        <w:autoSpaceDE/>
        <w:autoSpaceDN/>
        <w:bidi w:val="0"/>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大力推动师生“走出去”。</w:t>
      </w:r>
      <w:r>
        <w:rPr>
          <w:rFonts w:hint="eastAsia" w:ascii="仿宋_GB2312" w:hAnsi="仿宋_GB2312" w:eastAsia="仿宋_GB2312" w:cs="仿宋_GB2312"/>
          <w:sz w:val="32"/>
          <w:szCs w:val="32"/>
        </w:rPr>
        <w:t>将传播中国文化、讲好中国故事、提升教育教学品质和服务“留学湖南”品牌为抓手，完善开放办学人才培养体系，健全国际双向交流机制。一是多层次、宽领域推动教学、科研和管理队伍开放程度。加大学校公派教师出国（境）交流力度，力争公派教师长短期出国（境）人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次以上，培养一支能开展交流与合作的教学、科研和管理骨干队伍，为国际化课程的建设和发展提供人才支撑。二是多形式开展、多渠道推动学生国际交流。通过交流（换）生、赴国（境）外企业见习、实习等形式，多渠道推动学生出国（境）进行长短期交流，力争每年推动</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名左右学生在校期间或毕业后出国（境）交流学习或深造。三是服务“留学湖南”品牌建设，提升国际学生教育层次，力争培养国际学生达</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人。四是促进我校地方特色优势教育资源“走出去”，探索海外分校建立。依托我校优势特色专业及文化资源（舜文化、柳文化、理学文化、孝道文化、女书文化等），推进与“一带一路”沿线国家高校开展“小语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专业”合作办学，适时拓展建立海外分校。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（二）建立健全开放办学激励机制，调动二级学院主动性</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鼓励有条件的二级学院开展开放办学改革试点，健全开放办学激励机制，建设开放办学人才培养示范平台，拟遴选</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个专业开展开放办学改革试点，积极探索加快开放办学进程的新机制，健全制度保障，在经费、师资队伍进修等方面对参与开放办学人才培养的专业给予鼓励和支持。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（三）提升国际学生培养层次</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开展来华留学教育，综合考虑校园住宿承载能力，适度控制规模；提升人才培养层次，推动建设全英文授课专业课程，破除学历生培养障碍；在“一带一路”沿线国家多渠道开展来华留学生招生宣传，力争每年招生</w:t>
      </w:r>
      <w:r>
        <w:rPr>
          <w:rFonts w:ascii="仿宋_GB2312" w:hAnsi="仿宋_GB2312" w:eastAsia="仿宋_GB2312" w:cs="仿宋_GB2312"/>
          <w:sz w:val="32"/>
          <w:szCs w:val="32"/>
        </w:rPr>
        <w:t>30-40</w:t>
      </w:r>
      <w:r>
        <w:rPr>
          <w:rFonts w:hint="eastAsia" w:ascii="仿宋_GB2312" w:hAnsi="仿宋_GB2312" w:eastAsia="仿宋_GB2312" w:cs="仿宋_GB2312"/>
          <w:sz w:val="32"/>
          <w:szCs w:val="32"/>
        </w:rPr>
        <w:t>名左右“一带一路”来华留学生，“十四五”期间累计培养国际生达</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人。学校层面出台奖学金政策，进一步加大语言生、学历生的培养支持力度。做好国际教育学院的中长期规划，通过开展国际项目打造国际教育学院师资团队，计划到“十四五”末，师资规模在</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人左右，其中相关管理人员</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人；正常教学运营用教室</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间左右。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（四）加大国（境）外智力人才引进力度</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加强与学院联动，聘请国（境）外高校知名专家学者担任学校的名誉教授或客座教授，“十四五”期间，力争聘请外籍名誉教授或客座教授</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人。</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聘请高层次外籍教师</w:t>
      </w:r>
      <w:r>
        <w:rPr>
          <w:rFonts w:ascii="仿宋_GB2312" w:hAnsi="仿宋_GB2312" w:eastAsia="仿宋_GB2312" w:cs="仿宋_GB2312"/>
          <w:sz w:val="32"/>
          <w:szCs w:val="32"/>
        </w:rPr>
        <w:t>4-10</w:t>
      </w:r>
      <w:r>
        <w:rPr>
          <w:rFonts w:hint="eastAsia" w:ascii="仿宋_GB2312" w:hAnsi="仿宋_GB2312" w:eastAsia="仿宋_GB2312" w:cs="仿宋_GB2312"/>
          <w:sz w:val="32"/>
          <w:szCs w:val="32"/>
        </w:rPr>
        <w:t>人，重点引进专业类外籍教师。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（五）推动中外合作办学，确保教育教学质量</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国家和区域经济发展以及学校学科建设的需要，进一步优化合作办学布局，聚焦优势资源“请进来”。结合教育部共建“一带一路”教育行动计划，重点推进与“一带一路”沿线国家的合作；力争获批中外合作办学专业</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个，参加项目的学生规模为每年</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人左右。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（六）围绕学校发展中心工作，主办国际会议</w:t>
      </w:r>
    </w:p>
    <w:p>
      <w:pPr>
        <w:pageBreakBefore w:val="0"/>
        <w:widowControl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服务学校发展中心工作，围绕申硕、应用特色学科和“双一流”专业发展，依托国家和省级一流专业及省应用特色学科等平台通过主办或协办国际会议促进学科与专业发展，提升学校国际影响力。</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四、保障机制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（一）组织保障</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建立健全学校国际交流与合作的组织架构和协调工作机制，优化国际交流与合作领导小组和工作小组人员配置，领导小组对学校国际交流与合作工作进行统筹、协调和推进，工作小组包含外事专员和校内单位设有的外事工作联络员，形成一支专兼职结合的外事工作队伍，明确外事工作职责，具体负责国际交流与合作的日常管理。形成对外统一管理、对内统筹协调的外事工作管理模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（二）制度保障</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出台《湖南科技学院开放办学激励办法》《湖南科技学院国际学生奖学金管理办法》《湖南科技学院国际教师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学生项目管理办法》等制度和外事工作安全预案，形成国际交流合作工作责任的落实机制，以保证国际交流合作的稳步发展。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（三）经费保障</w:t>
      </w:r>
    </w:p>
    <w:p>
      <w:pPr>
        <w:pageBreakBefore w:val="0"/>
        <w:widowControl w:val="0"/>
        <w:kinsoku/>
        <w:wordWrap/>
        <w:overflowPunct/>
        <w:topLinePunct w:val="0"/>
        <w:autoSpaceDE/>
        <w:autoSpaceDN/>
        <w:bidi w:val="0"/>
        <w:spacing w:line="540" w:lineRule="exact"/>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加大支持开放办学的投入，在每年预算中安排一定比例的国际合作交流经费，用于国际学生奖学金、教学学院交流学生管理费、国际教育学院日常管理经费、开放办学突出贡献奖等方面。同时，做到具体教育国际交流合作项目专款专用，保障教育开放办学稳步推进。</w:t>
      </w:r>
    </w:p>
    <w:p>
      <w:pPr>
        <w:pageBreakBefore w:val="0"/>
        <w:widowControl w:val="0"/>
        <w:kinsoku/>
        <w:wordWrap/>
        <w:overflowPunct/>
        <w:topLinePunct w:val="0"/>
        <w:autoSpaceDE/>
        <w:autoSpaceDN/>
        <w:bidi w:val="0"/>
        <w:spacing w:line="540" w:lineRule="exact"/>
        <w:ind w:firstLine="56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spacing w:line="540" w:lineRule="exact"/>
        <w:ind w:firstLine="56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spacing w:line="540" w:lineRule="exact"/>
      </w:pPr>
    </w:p>
    <w:sectPr>
      <w:headerReference r:id="rId5" w:type="first"/>
      <w:footerReference r:id="rId7" w:type="first"/>
      <w:headerReference r:id="rId3" w:type="default"/>
      <w:headerReference r:id="rId4" w:type="even"/>
      <w:footerReference r:id="rId6" w:type="even"/>
      <w:pgSz w:w="11906" w:h="16838"/>
      <w:pgMar w:top="2098" w:right="1474" w:bottom="150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17E4ED2"/>
    <w:rsid w:val="000E5155"/>
    <w:rsid w:val="0013218D"/>
    <w:rsid w:val="00132D50"/>
    <w:rsid w:val="00243831"/>
    <w:rsid w:val="003247C0"/>
    <w:rsid w:val="004A6E6F"/>
    <w:rsid w:val="00515E9E"/>
    <w:rsid w:val="005E3A50"/>
    <w:rsid w:val="00770B8D"/>
    <w:rsid w:val="0084030B"/>
    <w:rsid w:val="008767BA"/>
    <w:rsid w:val="00915D1C"/>
    <w:rsid w:val="00995C4B"/>
    <w:rsid w:val="00A60000"/>
    <w:rsid w:val="00AA51CD"/>
    <w:rsid w:val="00D045E3"/>
    <w:rsid w:val="00E17EC4"/>
    <w:rsid w:val="00E71E93"/>
    <w:rsid w:val="00E72B00"/>
    <w:rsid w:val="00EA6223"/>
    <w:rsid w:val="00EB7358"/>
    <w:rsid w:val="00F27D05"/>
    <w:rsid w:val="00FC2D69"/>
    <w:rsid w:val="17B11C58"/>
    <w:rsid w:val="18523C50"/>
    <w:rsid w:val="217E4ED2"/>
    <w:rsid w:val="285A68B2"/>
    <w:rsid w:val="29166787"/>
    <w:rsid w:val="2E945A58"/>
    <w:rsid w:val="38EC373F"/>
    <w:rsid w:val="72201D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8"/>
    <w:qFormat/>
    <w:uiPriority w:val="99"/>
    <w:pPr>
      <w:keepNext/>
      <w:keepLines/>
      <w:spacing w:before="260" w:after="260" w:line="415" w:lineRule="auto"/>
      <w:outlineLvl w:val="1"/>
    </w:pPr>
    <w:rPr>
      <w:rFonts w:ascii="Calibri Light" w:hAnsi="Calibri Light" w:cs="宋体"/>
      <w:b/>
      <w:bCs/>
      <w:sz w:val="32"/>
      <w:szCs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99"/>
    <w:pPr>
      <w:spacing w:after="12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Heading 2 Char"/>
    <w:basedOn w:val="7"/>
    <w:link w:val="3"/>
    <w:semiHidden/>
    <w:qFormat/>
    <w:locked/>
    <w:uiPriority w:val="99"/>
    <w:rPr>
      <w:rFonts w:ascii="Cambria" w:hAnsi="Cambria" w:eastAsia="宋体" w:cs="Times New Roman"/>
      <w:b/>
      <w:bCs/>
      <w:sz w:val="32"/>
      <w:szCs w:val="32"/>
    </w:rPr>
  </w:style>
  <w:style w:type="character" w:customStyle="1" w:styleId="9">
    <w:name w:val="Footer Char"/>
    <w:basedOn w:val="7"/>
    <w:link w:val="4"/>
    <w:semiHidden/>
    <w:qFormat/>
    <w:locked/>
    <w:uiPriority w:val="99"/>
    <w:rPr>
      <w:rFonts w:ascii="Times New Roman" w:hAnsi="Times New Roman" w:cs="Times New Roman"/>
      <w:sz w:val="18"/>
      <w:szCs w:val="18"/>
    </w:rPr>
  </w:style>
  <w:style w:type="character" w:customStyle="1" w:styleId="10">
    <w:name w:val="Header Char"/>
    <w:basedOn w:val="7"/>
    <w:link w:val="5"/>
    <w:semiHidden/>
    <w:qFormat/>
    <w:locked/>
    <w:uiPriority w:val="99"/>
    <w:rPr>
      <w:rFonts w:ascii="Times New Roman" w:hAnsi="Times New Roman"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772</Words>
  <Characters>4406</Characters>
  <Lines>0</Lines>
  <Paragraphs>0</Paragraphs>
  <TotalTime>37</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2021-11-02T01:23:00Z</dcterms:created>
  <dc:creator>郑锐（我在线上）</dc:creator>
  <lastModifiedBy>黑雨</lastModifiedBy>
  <dcterms:modified xsi:type="dcterms:W3CDTF">2021-11-22T09:29:45Z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25DC6FAE3BC04E75AD45012CB7CC7746</vt:lpwstr>
  </property>
</Properties>
</file>