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spacing w:line="576" w:lineRule="exact"/>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湖南科技学院</w:t>
      </w:r>
    </w:p>
    <w:p>
      <w:pPr>
        <w:keepNext w:val="0"/>
        <w:keepLines w:val="0"/>
        <w:pageBreakBefore w:val="0"/>
        <w:widowControl w:val="0"/>
        <w:kinsoku/>
        <w:wordWrap/>
        <w:overflowPunct/>
        <w:topLinePunct w:val="0"/>
        <w:autoSpaceDE/>
        <w:autoSpaceDN/>
        <w:bidi w:val="0"/>
        <w:spacing w:line="576" w:lineRule="exact"/>
        <w:jc w:val="center"/>
        <w:rPr>
          <w:rFonts w:hint="eastAsia" w:ascii="方正小标宋简体" w:hAnsi="方正小标宋简体" w:eastAsia="方正小标宋简体" w:cs="方正小标宋简体"/>
          <w:b w:val="0"/>
          <w:bCs w:val="0"/>
          <w:sz w:val="44"/>
          <w:szCs w:val="44"/>
          <w:lang w:val="en-US"/>
        </w:rPr>
      </w:pPr>
      <w:r>
        <w:rPr>
          <w:rFonts w:hint="eastAsia" w:ascii="方正小标宋简体" w:hAnsi="方正小标宋简体" w:eastAsia="方正小标宋简体" w:cs="方正小标宋简体"/>
          <w:b w:val="0"/>
          <w:bCs w:val="0"/>
          <w:sz w:val="44"/>
          <w:szCs w:val="44"/>
          <w:lang w:val="en-US"/>
        </w:rPr>
        <w:t>文法学院“十四五”建设与发展规划</w:t>
      </w:r>
    </w:p>
    <w:p>
      <w:pPr>
        <w:pStyle w:val="2"/>
      </w:pP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jc w:val="both"/>
        <w:textAlignment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“十四五”时期是学院推进内涵发展、特色发展、跨越发展的关键阶段。为</w:t>
      </w:r>
      <w:r>
        <w:rPr>
          <w:rFonts w:hint="eastAsia" w:ascii="仿宋_GB2312" w:hAnsi="仿宋_GB2312" w:eastAsia="仿宋_GB2312" w:cs="仿宋_GB2312"/>
          <w:sz w:val="32"/>
          <w:szCs w:val="32"/>
          <w:lang w:eastAsia="zh-CN"/>
        </w:rPr>
        <w:t>深入贯彻</w:t>
      </w:r>
      <w:r>
        <w:rPr>
          <w:rFonts w:hint="eastAsia" w:ascii="仿宋_GB2312" w:hAnsi="仿宋_GB2312" w:eastAsia="仿宋_GB2312" w:cs="仿宋_GB2312"/>
          <w:sz w:val="32"/>
          <w:szCs w:val="32"/>
        </w:rPr>
        <w:t>习近平新时代中国特色社会主义思想，</w:t>
      </w:r>
      <w:r>
        <w:rPr>
          <w:rFonts w:hint="eastAsia" w:ascii="仿宋_GB2312" w:hAnsi="仿宋_GB2312" w:eastAsia="仿宋_GB2312" w:cs="仿宋_GB2312"/>
          <w:sz w:val="32"/>
          <w:szCs w:val="32"/>
          <w:lang w:val="en-US" w:eastAsia="zh-CN"/>
        </w:rPr>
        <w:t>抓住</w:t>
      </w:r>
      <w:r>
        <w:rPr>
          <w:rFonts w:hint="eastAsia" w:ascii="仿宋_GB2312" w:hAnsi="仿宋_GB2312" w:eastAsia="仿宋_GB2312" w:cs="仿宋_GB2312"/>
          <w:sz w:val="32"/>
          <w:szCs w:val="32"/>
        </w:rPr>
        <w:t>“三高四新”</w:t>
      </w:r>
      <w:r>
        <w:rPr>
          <w:rFonts w:hint="eastAsia" w:ascii="仿宋_GB2312" w:hAnsi="仿宋_GB2312" w:eastAsia="仿宋_GB2312" w:cs="仿宋_GB2312"/>
          <w:sz w:val="32"/>
          <w:szCs w:val="32"/>
          <w:lang w:val="en-US" w:eastAsia="zh-CN"/>
        </w:rPr>
        <w:t>战略契机，</w:t>
      </w:r>
      <w:r>
        <w:rPr>
          <w:rFonts w:hint="eastAsia" w:ascii="仿宋_GB2312" w:hAnsi="仿宋_GB2312" w:eastAsia="仿宋_GB2312" w:cs="仿宋_GB2312"/>
          <w:sz w:val="32"/>
          <w:szCs w:val="32"/>
        </w:rPr>
        <w:t>全面落实全国教育大会精神，坚持“以本为本”，推进“四个回归”</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进一步增强学院办学实力，全面提高教育教学和人才培养质量，根据《中国教育现代化2035》《深化新时代教育评价改革总体方案》《湖南科技学院“十四五”事业改革与发展规划》等文件及学校第四次党代会</w:t>
      </w:r>
      <w:r>
        <w:rPr>
          <w:rFonts w:hint="eastAsia" w:ascii="仿宋_GB2312" w:hAnsi="仿宋_GB2312" w:eastAsia="仿宋_GB2312" w:cs="仿宋_GB2312"/>
          <w:sz w:val="32"/>
          <w:szCs w:val="32"/>
          <w:lang w:val="en-US" w:eastAsia="zh-CN"/>
        </w:rPr>
        <w:t>精神，</w:t>
      </w:r>
      <w:r>
        <w:rPr>
          <w:rFonts w:hint="eastAsia" w:ascii="仿宋_GB2312" w:hAnsi="仿宋_GB2312" w:eastAsia="仿宋_GB2312" w:cs="仿宋_GB2312"/>
          <w:sz w:val="32"/>
          <w:szCs w:val="32"/>
        </w:rPr>
        <w:t>结合学院实际，制定本规划。</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jc w:val="both"/>
        <w:textAlignment w:val="center"/>
        <w:outlineLvl w:val="0"/>
        <w:rPr>
          <w:rFonts w:hint="eastAsia" w:ascii="黑体" w:hAnsi="黑体" w:eastAsia="黑体" w:cs="黑体"/>
          <w:b w:val="0"/>
          <w:bCs w:val="0"/>
          <w:sz w:val="32"/>
          <w:szCs w:val="32"/>
        </w:rPr>
      </w:pPr>
      <w:r>
        <w:rPr>
          <w:rFonts w:hint="eastAsia" w:ascii="黑体" w:hAnsi="黑体" w:eastAsia="黑体" w:cs="黑体"/>
          <w:b w:val="0"/>
          <w:bCs w:val="0"/>
          <w:sz w:val="32"/>
          <w:szCs w:val="32"/>
        </w:rPr>
        <w:t>一、学院建设发展现状</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center"/>
        <w:rPr>
          <w:rFonts w:hint="eastAsia" w:ascii="楷体_GB2312" w:hAnsi="楷体_GB2312" w:eastAsia="楷体_GB2312" w:cs="楷体_GB2312"/>
          <w:b/>
          <w:bCs/>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t>（一）“十三五”取得的主要成绩</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jc w:val="both"/>
        <w:textAlignment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三五”期间，在学校党委、行政的坚强领导下、在各职能部门的大力支持下，经过全院师生的共同努力，基本实现了“十三五”确定的目标任务，在党建引领、人才培养、教学科研、学科建设、服务地方等方面取得较为显著的成绩，实现了新的突破。</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center"/>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1.党建引领工作成效凸显</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jc w:val="both"/>
        <w:textAlignment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学院全面贯彻落实党的教育方针，坚持全面从严治党，落实立德树人根本任务，按照“政治建院、人才兴院、教学立院、科研强院、质量铸院”的办学方针，全面加强基层党</w:t>
      </w:r>
      <w:r>
        <w:rPr>
          <w:rFonts w:hint="eastAsia" w:ascii="仿宋_GB2312" w:hAnsi="仿宋_GB2312" w:eastAsia="仿宋_GB2312" w:cs="仿宋_GB2312"/>
          <w:sz w:val="32"/>
          <w:szCs w:val="32"/>
          <w:lang w:val="en-US" w:eastAsia="zh-CN"/>
        </w:rPr>
        <w:t>组织</w:t>
      </w:r>
      <w:r>
        <w:rPr>
          <w:rFonts w:hint="eastAsia" w:ascii="仿宋_GB2312" w:hAnsi="仿宋_GB2312" w:eastAsia="仿宋_GB2312" w:cs="仿宋_GB2312"/>
          <w:sz w:val="32"/>
          <w:szCs w:val="32"/>
        </w:rPr>
        <w:t>建设，落实立德树人根本任务，确保了正确的办学方向，促进了学院持续健康快速发展。学院党总支被学校评为“优秀基层党组织”；学院分团委被评为“湖南省五四红旗分团委”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永州市五四红旗分团委”；学院在年度考核中连续四年被评为“优秀”。学院实践育人成果“柳子街社区服务实践活动”获湖南省高校校园文化建设优秀成果特等奖、全国第九届高校校园文化建设优秀成果优秀奖。2019年，学院被省</w:t>
      </w:r>
      <w:r>
        <w:rPr>
          <w:rFonts w:hint="eastAsia" w:ascii="仿宋_GB2312" w:hAnsi="仿宋_GB2312" w:eastAsia="仿宋_GB2312" w:cs="仿宋_GB2312"/>
          <w:sz w:val="32"/>
          <w:szCs w:val="32"/>
          <w:lang w:val="en-US" w:eastAsia="zh-CN"/>
        </w:rPr>
        <w:t>委</w:t>
      </w:r>
      <w:r>
        <w:rPr>
          <w:rFonts w:hint="eastAsia" w:ascii="仿宋_GB2312" w:hAnsi="仿宋_GB2312" w:eastAsia="仿宋_GB2312" w:cs="仿宋_GB2312"/>
          <w:sz w:val="32"/>
          <w:szCs w:val="32"/>
        </w:rPr>
        <w:t>教育工委立项为湖南省“三全育人”综合改革试点院系。</w:t>
      </w:r>
      <w:r>
        <w:rPr>
          <w:rFonts w:hint="eastAsia" w:ascii="仿宋_GB2312" w:hAnsi="仿宋_GB2312" w:eastAsia="仿宋_GB2312" w:cs="仿宋_GB2312"/>
          <w:sz w:val="32"/>
          <w:szCs w:val="32"/>
          <w:lang w:val="zh-CN"/>
        </w:rPr>
        <w:t>育人工作事迹</w:t>
      </w:r>
      <w:r>
        <w:rPr>
          <w:rFonts w:hint="eastAsia" w:ascii="仿宋_GB2312" w:hAnsi="仿宋_GB2312" w:eastAsia="仿宋_GB2312" w:cs="仿宋_GB2312"/>
          <w:sz w:val="32"/>
          <w:szCs w:val="32"/>
        </w:rPr>
        <w:t>被人民网、学习强国、湖南日报、湖南教育电视台、新湖南、红网等省级以上媒体宣传报道</w:t>
      </w:r>
      <w:r>
        <w:rPr>
          <w:rFonts w:hint="eastAsia" w:ascii="仿宋_GB2312" w:hAnsi="仿宋_GB2312" w:eastAsia="仿宋_GB2312" w:cs="仿宋_GB2312"/>
          <w:sz w:val="32"/>
          <w:szCs w:val="32"/>
          <w:lang w:val="zh-CN"/>
        </w:rPr>
        <w:t>。</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center"/>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2.教育教学水平不断提升</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jc w:val="both"/>
        <w:textAlignment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紧紧抓住“培养什么人、怎样培养人、为谁培养人”这一根本性问题，加大教学改革力度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提升教育教学水平</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一是强化立德树人意识，在思政课程之外，</w:t>
      </w:r>
      <w:r>
        <w:rPr>
          <w:rFonts w:hint="eastAsia" w:ascii="仿宋_GB2312" w:hAnsi="仿宋_GB2312" w:eastAsia="仿宋_GB2312" w:cs="仿宋_GB2312"/>
          <w:sz w:val="32"/>
          <w:szCs w:val="32"/>
        </w:rPr>
        <w:t>全面梳理专业课程思政涵育点，使学科专业课程内容与思政教育紧密融合。另外，通过举办“明德讲坛”等系列讲座等活动，邀请杰出校友、一线名师进校园，与师范生分享从教经历和为师心得。</w:t>
      </w:r>
      <w:r>
        <w:rPr>
          <w:rFonts w:hint="eastAsia" w:ascii="仿宋_GB2312" w:hAnsi="仿宋_GB2312" w:eastAsia="仿宋_GB2312" w:cs="仿宋_GB2312"/>
          <w:sz w:val="32"/>
          <w:szCs w:val="32"/>
          <w:lang w:val="en-US" w:eastAsia="zh-CN"/>
        </w:rPr>
        <w:t>二是大力</w:t>
      </w:r>
      <w:r>
        <w:rPr>
          <w:rFonts w:hint="eastAsia" w:ascii="仿宋_GB2312" w:hAnsi="仿宋_GB2312" w:eastAsia="仿宋_GB2312" w:cs="仿宋_GB2312"/>
          <w:sz w:val="32"/>
          <w:szCs w:val="32"/>
        </w:rPr>
        <w:t>加强专业</w:t>
      </w:r>
      <w:r>
        <w:rPr>
          <w:rFonts w:hint="eastAsia" w:ascii="仿宋_GB2312" w:hAnsi="仿宋_GB2312" w:eastAsia="仿宋_GB2312" w:cs="仿宋_GB2312"/>
          <w:sz w:val="32"/>
          <w:szCs w:val="32"/>
          <w:lang w:val="en-US" w:eastAsia="zh-CN"/>
        </w:rPr>
        <w:t>和课程</w:t>
      </w:r>
      <w:r>
        <w:rPr>
          <w:rFonts w:hint="eastAsia" w:ascii="仿宋_GB2312" w:hAnsi="仿宋_GB2312" w:eastAsia="仿宋_GB2312" w:cs="仿宋_GB2312"/>
          <w:sz w:val="32"/>
          <w:szCs w:val="32"/>
        </w:rPr>
        <w:t>建设，2016年新增戏剧与影视文学专业，专业数达到4个，汉语言文学专业获湖南省一流本科专业建设点。法学专业获校级“一流本科专业”建设点。立项省级线下一流本科课程1门，教育部产学研协同育人项目</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项、立项省级教改课题7项，省级课程思政建设研究项目1项，发表教改论文24篇。</w:t>
      </w:r>
      <w:r>
        <w:rPr>
          <w:rFonts w:hint="eastAsia" w:ascii="仿宋_GB2312" w:hAnsi="仿宋_GB2312" w:eastAsia="仿宋_GB2312" w:cs="仿宋_GB2312"/>
          <w:sz w:val="32"/>
          <w:szCs w:val="32"/>
          <w:lang w:val="en-US" w:eastAsia="zh-CN"/>
        </w:rPr>
        <w:t>三是教学改革成效显著，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中国语言文学类专业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双轮驱动式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应用型人才培养研究与实践”获高等教育</w:t>
      </w:r>
      <w:r>
        <w:rPr>
          <w:rFonts w:hint="eastAsia" w:ascii="仿宋_GB2312" w:hAnsi="仿宋_GB2312" w:eastAsia="仿宋_GB2312" w:cs="仿宋_GB2312"/>
          <w:sz w:val="32"/>
          <w:szCs w:val="32"/>
          <w:lang w:val="en-US" w:eastAsia="zh-CN"/>
        </w:rPr>
        <w:t>省级教学</w:t>
      </w:r>
      <w:r>
        <w:rPr>
          <w:rFonts w:hint="eastAsia" w:ascii="仿宋_GB2312" w:hAnsi="仿宋_GB2312" w:eastAsia="仿宋_GB2312" w:cs="仿宋_GB2312"/>
          <w:sz w:val="32"/>
          <w:szCs w:val="32"/>
        </w:rPr>
        <w:t>成果三等奖，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湘西籍民族预科生人文素养与汉语言能力提升的理论与实践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获湖南省第二届民族教育优秀教育教学成果三等奖。中国语言文学系获校级优秀基层教学组织、中国古代文学教学团队获校级教育教学优秀团队。学院在本科教学工作审核评估中得到专家组充分肯定，完成了汉语言文学师范专业认证</w:t>
      </w:r>
      <w:r>
        <w:rPr>
          <w:rFonts w:hint="eastAsia" w:ascii="仿宋_GB2312" w:hAnsi="仿宋_GB2312" w:eastAsia="仿宋_GB2312" w:cs="仿宋_GB2312"/>
          <w:sz w:val="32"/>
          <w:szCs w:val="32"/>
          <w:lang w:val="en-US" w:eastAsia="zh-CN"/>
        </w:rPr>
        <w:t>受理</w:t>
      </w:r>
      <w:r>
        <w:rPr>
          <w:rFonts w:hint="eastAsia" w:ascii="仿宋_GB2312" w:hAnsi="仿宋_GB2312" w:eastAsia="仿宋_GB2312" w:cs="仿宋_GB2312"/>
          <w:sz w:val="32"/>
          <w:szCs w:val="32"/>
        </w:rPr>
        <w:t>申报和前期准备工作。</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center"/>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3.学科和科研工作成绩突出</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jc w:val="both"/>
        <w:textAlignment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扎实推进“双一流”建设和科学研究。2017年中国语言文学学科被确定为湖南省第三批新增硕士学位点建设一级学科，2018年中国语言文学被评为湖南省应用特色学科。</w:t>
      </w:r>
      <w:bookmarkStart w:id="0" w:name="_Hlk527320955"/>
      <w:r>
        <w:rPr>
          <w:rFonts w:hint="eastAsia" w:ascii="仿宋_GB2312" w:hAnsi="仿宋_GB2312" w:eastAsia="仿宋_GB2312" w:cs="仿宋_GB2312"/>
          <w:sz w:val="32"/>
          <w:szCs w:val="32"/>
        </w:rPr>
        <w:t>新增湖南省高等学校哲学社会科学重点研究基地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南岭走廊与潇湘文化研究</w:t>
      </w:r>
      <w:r>
        <w:rPr>
          <w:rFonts w:hint="eastAsia" w:ascii="仿宋_GB2312" w:hAnsi="仿宋_GB2312" w:eastAsia="仿宋_GB2312" w:cs="仿宋_GB2312"/>
          <w:sz w:val="32"/>
          <w:szCs w:val="32"/>
          <w:lang w:val="en-US" w:eastAsia="zh-CN"/>
        </w:rPr>
        <w:t>基地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中国瑶族</w:t>
      </w:r>
      <w:r>
        <w:rPr>
          <w:rFonts w:hint="eastAsia" w:ascii="仿宋_GB2312" w:hAnsi="仿宋_GB2312" w:eastAsia="仿宋_GB2312" w:cs="仿宋_GB2312"/>
          <w:sz w:val="32"/>
          <w:szCs w:val="32"/>
          <w:lang w:val="en-US" w:eastAsia="zh-CN"/>
        </w:rPr>
        <w:t>文化</w:t>
      </w:r>
      <w:r>
        <w:rPr>
          <w:rFonts w:hint="eastAsia" w:ascii="仿宋_GB2312" w:hAnsi="仿宋_GB2312" w:eastAsia="仿宋_GB2312" w:cs="仿宋_GB2312"/>
          <w:sz w:val="32"/>
          <w:szCs w:val="32"/>
        </w:rPr>
        <w:t>传承研究中心</w:t>
      </w:r>
      <w:bookmarkEnd w:id="0"/>
      <w:r>
        <w:rPr>
          <w:rFonts w:hint="eastAsia" w:ascii="仿宋_GB2312" w:hAnsi="仿宋_GB2312" w:eastAsia="仿宋_GB2312" w:cs="仿宋_GB2312"/>
          <w:sz w:val="32"/>
          <w:szCs w:val="32"/>
          <w:lang w:val="en-US" w:eastAsia="zh-CN"/>
        </w:rPr>
        <w:t>湖南科技学院研究基地</w:t>
      </w:r>
      <w:r>
        <w:rPr>
          <w:rFonts w:hint="eastAsia" w:ascii="仿宋_GB2312" w:hAnsi="仿宋_GB2312" w:eastAsia="仿宋_GB2312" w:cs="仿宋_GB2312"/>
          <w:sz w:val="32"/>
          <w:szCs w:val="32"/>
        </w:rPr>
        <w:t>、湖南瑶族文化研究中心湖南科技学院研究基地3个，潇水流域民间文化与语言文字研究所等校级科研机构3个。</w:t>
      </w:r>
      <w:r>
        <w:rPr>
          <w:rFonts w:hint="eastAsia" w:ascii="仿宋_GB2312" w:hAnsi="仿宋_GB2312" w:eastAsia="仿宋_GB2312" w:cs="仿宋_GB2312"/>
          <w:sz w:val="32"/>
          <w:szCs w:val="32"/>
          <w:lang w:val="en-US" w:eastAsia="zh-CN"/>
        </w:rPr>
        <w:t>湖南省</w:t>
      </w:r>
      <w:r>
        <w:rPr>
          <w:rFonts w:hint="eastAsia" w:ascii="仿宋_GB2312" w:hAnsi="仿宋_GB2312" w:eastAsia="仿宋_GB2312" w:cs="仿宋_GB2312"/>
          <w:sz w:val="32"/>
          <w:szCs w:val="32"/>
        </w:rPr>
        <w:t>舜文化研究基地验收获得</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良好等级。“十三五”期间，立项国家社科基金课题3项，教育部人文社科课题5项，国家语委课题</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项，省社科基金等省部级课题48项，出版专著、教材50余部，发表学术论文323篇，其中CSSCI来源期刊（含核心期刊）论文39篇，出版专著、教材37部，项目进校经费700余万元。举办湘语国际学术</w:t>
      </w:r>
      <w:r>
        <w:rPr>
          <w:rFonts w:hint="eastAsia" w:ascii="仿宋_GB2312" w:hAnsi="仿宋_GB2312" w:eastAsia="仿宋_GB2312" w:cs="仿宋_GB2312"/>
          <w:sz w:val="32"/>
          <w:szCs w:val="32"/>
          <w:lang w:val="en-US" w:eastAsia="zh-CN"/>
        </w:rPr>
        <w:t>研讨会</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第二届</w:t>
      </w:r>
      <w:r>
        <w:rPr>
          <w:rFonts w:hint="eastAsia" w:ascii="仿宋_GB2312" w:hAnsi="仿宋_GB2312" w:eastAsia="仿宋_GB2312" w:cs="仿宋_GB2312"/>
          <w:sz w:val="32"/>
          <w:szCs w:val="32"/>
        </w:rPr>
        <w:t>南方官话国际学术研讨会、</w:t>
      </w:r>
      <w:r>
        <w:rPr>
          <w:rFonts w:hint="eastAsia" w:ascii="仿宋_GB2312" w:hAnsi="仿宋_GB2312" w:eastAsia="仿宋_GB2312" w:cs="仿宋_GB2312"/>
          <w:sz w:val="32"/>
          <w:szCs w:val="32"/>
          <w:lang w:val="en-US" w:eastAsia="zh-CN"/>
        </w:rPr>
        <w:t>湖南</w:t>
      </w:r>
      <w:r>
        <w:rPr>
          <w:rFonts w:hint="eastAsia" w:ascii="仿宋_GB2312" w:hAnsi="仿宋_GB2312" w:eastAsia="仿宋_GB2312" w:cs="仿宋_GB2312"/>
          <w:sz w:val="32"/>
          <w:szCs w:val="32"/>
        </w:rPr>
        <w:t>省普通高校文科院系学科与专业建设研讨会等学术会议10余次，举办学术讲座60余</w:t>
      </w:r>
      <w:r>
        <w:rPr>
          <w:rFonts w:hint="eastAsia" w:ascii="仿宋_GB2312" w:hAnsi="仿宋_GB2312" w:eastAsia="仿宋_GB2312" w:cs="仿宋_GB2312"/>
          <w:sz w:val="32"/>
          <w:szCs w:val="32"/>
          <w:lang w:val="en-US" w:eastAsia="zh-CN"/>
        </w:rPr>
        <w:t>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承接永州市地方志办公室</w:t>
      </w:r>
      <w:r>
        <w:rPr>
          <w:rFonts w:hint="eastAsia" w:ascii="仿宋_GB2312" w:hAnsi="仿宋_GB2312" w:eastAsia="仿宋_GB2312" w:cs="仿宋_GB2312"/>
          <w:sz w:val="32"/>
          <w:szCs w:val="32"/>
        </w:rPr>
        <w:t>《永州文艺志》《永州方言</w:t>
      </w:r>
      <w:r>
        <w:rPr>
          <w:rFonts w:hint="eastAsia" w:ascii="仿宋_GB2312" w:hAnsi="仿宋_GB2312" w:eastAsia="仿宋_GB2312" w:cs="仿宋_GB2312"/>
          <w:sz w:val="32"/>
          <w:szCs w:val="32"/>
          <w:lang w:val="en-US" w:eastAsia="zh-CN"/>
        </w:rPr>
        <w:t>志</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的</w:t>
      </w:r>
      <w:r>
        <w:rPr>
          <w:rFonts w:hint="eastAsia" w:ascii="仿宋_GB2312" w:hAnsi="仿宋_GB2312" w:eastAsia="仿宋_GB2312" w:cs="仿宋_GB2312"/>
          <w:sz w:val="32"/>
          <w:szCs w:val="32"/>
        </w:rPr>
        <w:t>编</w:t>
      </w:r>
      <w:r>
        <w:rPr>
          <w:rFonts w:hint="eastAsia" w:ascii="仿宋_GB2312" w:hAnsi="仿宋_GB2312" w:eastAsia="仿宋_GB2312" w:cs="仿宋_GB2312"/>
          <w:sz w:val="32"/>
          <w:szCs w:val="32"/>
          <w:lang w:eastAsia="zh-CN"/>
        </w:rPr>
        <w:t>撰</w:t>
      </w:r>
      <w:r>
        <w:rPr>
          <w:rFonts w:hint="eastAsia" w:ascii="仿宋_GB2312" w:hAnsi="仿宋_GB2312" w:eastAsia="仿宋_GB2312" w:cs="仿宋_GB2312"/>
          <w:sz w:val="32"/>
          <w:szCs w:val="32"/>
          <w:lang w:val="en-US" w:eastAsia="zh-CN"/>
        </w:rPr>
        <w:t>工作</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承办</w:t>
      </w:r>
      <w:r>
        <w:rPr>
          <w:rFonts w:hint="eastAsia" w:ascii="仿宋_GB2312" w:hAnsi="仿宋_GB2312" w:eastAsia="仿宋_GB2312" w:cs="仿宋_GB2312"/>
          <w:sz w:val="32"/>
          <w:szCs w:val="32"/>
        </w:rPr>
        <w:t>乡村教师国培项目、江永纪检监察系统干部</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培训</w:t>
      </w:r>
      <w:r>
        <w:rPr>
          <w:rFonts w:hint="eastAsia" w:ascii="仿宋_GB2312" w:hAnsi="仿宋_GB2312" w:eastAsia="仿宋_GB2312" w:cs="仿宋_GB2312"/>
          <w:sz w:val="32"/>
          <w:szCs w:val="32"/>
          <w:lang w:eastAsia="zh-CN"/>
        </w:rPr>
        <w:t>项目。</w:t>
      </w:r>
      <w:r>
        <w:rPr>
          <w:rFonts w:hint="eastAsia" w:ascii="仿宋_GB2312" w:hAnsi="仿宋_GB2312" w:eastAsia="仿宋_GB2312" w:cs="仿宋_GB2312"/>
          <w:sz w:val="32"/>
          <w:szCs w:val="32"/>
        </w:rPr>
        <w:t>与零陵区档案馆开展零陵古城历史文化印记、红色文化档案保护与研究等</w:t>
      </w:r>
      <w:r>
        <w:rPr>
          <w:rFonts w:hint="eastAsia" w:ascii="仿宋_GB2312" w:hAnsi="仿宋_GB2312" w:eastAsia="仿宋_GB2312" w:cs="仿宋_GB2312"/>
          <w:sz w:val="32"/>
          <w:szCs w:val="32"/>
          <w:lang w:eastAsia="zh-CN"/>
        </w:rPr>
        <w:t>横向</w:t>
      </w:r>
      <w:r>
        <w:rPr>
          <w:rFonts w:hint="eastAsia" w:ascii="仿宋_GB2312" w:hAnsi="仿宋_GB2312" w:eastAsia="仿宋_GB2312" w:cs="仿宋_GB2312"/>
          <w:sz w:val="32"/>
          <w:szCs w:val="32"/>
        </w:rPr>
        <w:t>项目研究，</w:t>
      </w:r>
      <w:r>
        <w:rPr>
          <w:rFonts w:hint="eastAsia" w:ascii="仿宋_GB2312" w:hAnsi="仿宋_GB2312" w:eastAsia="仿宋_GB2312" w:cs="仿宋_GB2312"/>
          <w:sz w:val="32"/>
          <w:szCs w:val="32"/>
          <w:lang w:val="en-US" w:eastAsia="zh-CN"/>
        </w:rPr>
        <w:t>积极开展</w:t>
      </w:r>
      <w:r>
        <w:rPr>
          <w:rFonts w:hint="eastAsia" w:ascii="仿宋_GB2312" w:hAnsi="仿宋_GB2312" w:eastAsia="仿宋_GB2312" w:cs="仿宋_GB2312"/>
          <w:sz w:val="32"/>
          <w:szCs w:val="32"/>
        </w:rPr>
        <w:t>永州地方文化挖掘、整理和研究</w:t>
      </w:r>
      <w:r>
        <w:rPr>
          <w:rFonts w:hint="eastAsia" w:ascii="仿宋_GB2312" w:hAnsi="仿宋_GB2312" w:eastAsia="仿宋_GB2312" w:cs="仿宋_GB2312"/>
          <w:sz w:val="32"/>
          <w:szCs w:val="32"/>
          <w:lang w:val="en-US" w:eastAsia="zh-CN"/>
        </w:rPr>
        <w:t>工作</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center"/>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4.师资队伍建设成效明显</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jc w:val="both"/>
        <w:textAlignment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“十三五”期间，坚持内培外引，加强人才队伍建设，共引进</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培养</w:t>
      </w:r>
      <w:r>
        <w:rPr>
          <w:rFonts w:hint="eastAsia" w:ascii="仿宋_GB2312" w:hAnsi="仿宋_GB2312" w:eastAsia="仿宋_GB2312" w:cs="仿宋_GB2312"/>
          <w:sz w:val="32"/>
          <w:szCs w:val="32"/>
        </w:rPr>
        <w:t>博士</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另有在读博士5人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，硕士4名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柔性博士</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3人晋升正高职称，2人晋升为副教授，1晋升为讲师。聘</w:t>
      </w:r>
      <w:r>
        <w:rPr>
          <w:rFonts w:hint="eastAsia" w:ascii="仿宋_GB2312" w:hAnsi="仿宋_GB2312" w:eastAsia="仿宋_GB2312" w:cs="仿宋_GB2312"/>
          <w:sz w:val="32"/>
          <w:szCs w:val="32"/>
          <w:lang w:val="en-US" w:eastAsia="zh-CN"/>
        </w:rPr>
        <w:t>请特聘</w:t>
      </w:r>
      <w:r>
        <w:rPr>
          <w:rFonts w:hint="eastAsia" w:ascii="仿宋_GB2312" w:hAnsi="仿宋_GB2312" w:eastAsia="仿宋_GB2312" w:cs="仿宋_GB2312"/>
          <w:sz w:val="32"/>
          <w:szCs w:val="32"/>
        </w:rPr>
        <w:t>教授3人、客座教授3人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3人入选</w:t>
      </w:r>
      <w:r>
        <w:rPr>
          <w:rFonts w:hint="eastAsia" w:ascii="仿宋_GB2312" w:hAnsi="仿宋_GB2312" w:eastAsia="仿宋_GB2312" w:cs="仿宋_GB2312"/>
          <w:sz w:val="32"/>
          <w:szCs w:val="32"/>
          <w:lang w:val="en-US" w:eastAsia="zh-CN"/>
        </w:rPr>
        <w:t>学校</w:t>
      </w:r>
      <w:r>
        <w:rPr>
          <w:rFonts w:hint="eastAsia" w:ascii="仿宋_GB2312" w:hAnsi="仿宋_GB2312" w:eastAsia="仿宋_GB2312" w:cs="仿宋_GB2312"/>
          <w:sz w:val="32"/>
          <w:szCs w:val="32"/>
        </w:rPr>
        <w:t>“英才计划”</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1人入选“青苗计划”。选送3名教师外出进修。新增硕士生导师10余人。</w:t>
      </w:r>
      <w:r>
        <w:rPr>
          <w:rFonts w:hint="eastAsia" w:ascii="仿宋_GB2312" w:hAnsi="仿宋_GB2312" w:eastAsia="仿宋_GB2312" w:cs="仿宋_GB2312"/>
          <w:sz w:val="32"/>
          <w:szCs w:val="32"/>
          <w:lang w:val="en-US" w:eastAsia="zh-CN"/>
        </w:rPr>
        <w:t>师资队伍教学科研水平大幅提高，</w:t>
      </w:r>
      <w:r>
        <w:rPr>
          <w:rFonts w:hint="eastAsia" w:ascii="仿宋_GB2312" w:hAnsi="仿宋_GB2312" w:eastAsia="仿宋_GB2312" w:cs="仿宋_GB2312"/>
          <w:sz w:val="32"/>
          <w:szCs w:val="32"/>
        </w:rPr>
        <w:t>2人获学校首届教学质量奖优秀奖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1人获校微课比赛一等奖，4获校课堂教学竞赛二等奖、三等奖，4人获校实践教学竞赛二等奖、三等奖，4人获校研讨式教学比赛二等级、三等奖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1人评为省级“双带头人”标兵，1人评为校级“双带头人”标兵。</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center"/>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5.人才培养质量稳步提升</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jc w:val="both"/>
        <w:textAlignment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学生专业素质和实践能力稳步提高。</w:t>
      </w:r>
      <w:r>
        <w:rPr>
          <w:rFonts w:hint="eastAsia" w:ascii="仿宋_GB2312" w:hAnsi="仿宋_GB2312" w:eastAsia="仿宋_GB2312" w:cs="仿宋_GB2312"/>
          <w:sz w:val="32"/>
          <w:szCs w:val="32"/>
        </w:rPr>
        <w:t>在校学生各类学科竞赛中省级以上奖励50余项，其中获省大学生写作竞赛一等奖2项、省大学生模拟法庭竞赛一等奖2项，省师范生技能大赛二等奖2项，全国商务秘书大赛获团体一等奖1项，全国首届大学生禁毒公益微艺术大赛三等奖1项，</w:t>
      </w:r>
      <w:r>
        <w:rPr>
          <w:rFonts w:hint="eastAsia" w:ascii="仿宋_GB2312" w:hAnsi="仿宋_GB2312" w:eastAsia="仿宋_GB2312" w:cs="仿宋_GB2312"/>
          <w:sz w:val="32"/>
          <w:szCs w:val="32"/>
          <w:lang w:val="zh-CN"/>
        </w:rPr>
        <w:t>大学生微创业行动全国铜奖</w:t>
      </w:r>
      <w:r>
        <w:rPr>
          <w:rFonts w:hint="eastAsia" w:ascii="仿宋_GB2312" w:hAnsi="仿宋_GB2312" w:eastAsia="仿宋_GB2312" w:cs="仿宋_GB2312"/>
          <w:sz w:val="32"/>
          <w:szCs w:val="32"/>
        </w:rPr>
        <w:t>1项，“创青春”湖南省大学生创业大赛三等奖1项，第九届“挑战杯”湖南省大学生创业计划竞赛银奖1项，铜奖1项。</w:t>
      </w:r>
      <w:r>
        <w:rPr>
          <w:rFonts w:hint="eastAsia" w:ascii="仿宋_GB2312" w:hAnsi="仿宋_GB2312" w:eastAsia="仿宋_GB2312" w:cs="仿宋_GB2312"/>
          <w:sz w:val="32"/>
          <w:szCs w:val="32"/>
          <w:lang w:val="zh-CN"/>
        </w:rPr>
        <w:t>全国首届大学生经典阅读征文活动一等奖</w:t>
      </w:r>
      <w:r>
        <w:rPr>
          <w:rFonts w:hint="eastAsia" w:ascii="仿宋_GB2312" w:hAnsi="仿宋_GB2312" w:eastAsia="仿宋_GB2312" w:cs="仿宋_GB2312"/>
          <w:sz w:val="32"/>
          <w:szCs w:val="32"/>
        </w:rPr>
        <w:t>1项</w:t>
      </w: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rPr>
        <w:t>“挑战杯”全国大学生课外学术科技作品竞赛省级二等奖1项，</w:t>
      </w:r>
      <w:r>
        <w:rPr>
          <w:rFonts w:hint="eastAsia" w:ascii="仿宋_GB2312" w:hAnsi="仿宋_GB2312" w:eastAsia="仿宋_GB2312" w:cs="仿宋_GB2312"/>
          <w:sz w:val="32"/>
          <w:szCs w:val="32"/>
          <w:lang w:val="zh-CN"/>
        </w:rPr>
        <w:t>第五届湖南省青年文化艺术节中获文学比赛散文类铜奖，</w:t>
      </w:r>
      <w:r>
        <w:rPr>
          <w:rFonts w:hint="eastAsia" w:ascii="仿宋_GB2312" w:hAnsi="仿宋_GB2312" w:eastAsia="仿宋_GB2312" w:cs="仿宋_GB2312"/>
          <w:sz w:val="32"/>
          <w:szCs w:val="32"/>
        </w:rPr>
        <w:t>获湖南省大学生红色经典诵读</w:t>
      </w:r>
      <w:r>
        <w:rPr>
          <w:rFonts w:hint="eastAsia" w:ascii="仿宋_GB2312" w:hAnsi="仿宋_GB2312" w:eastAsia="仿宋_GB2312" w:cs="仿宋_GB2312"/>
          <w:sz w:val="32"/>
          <w:szCs w:val="32"/>
          <w:lang w:eastAsia="zh-CN"/>
        </w:rPr>
        <w:t>大</w:t>
      </w:r>
      <w:r>
        <w:rPr>
          <w:rFonts w:hint="eastAsia" w:ascii="仿宋_GB2312" w:hAnsi="仿宋_GB2312" w:eastAsia="仿宋_GB2312" w:cs="仿宋_GB2312"/>
          <w:sz w:val="32"/>
          <w:szCs w:val="32"/>
        </w:rPr>
        <w:t>赛获“优</w:t>
      </w:r>
      <w:r>
        <w:rPr>
          <w:rFonts w:hint="eastAsia" w:ascii="仿宋_GB2312" w:hAnsi="仿宋_GB2312" w:eastAsia="仿宋_GB2312" w:cs="仿宋_GB2312"/>
          <w:sz w:val="32"/>
          <w:szCs w:val="32"/>
          <w:lang w:val="zh-CN"/>
        </w:rPr>
        <w:t>秀风采奖”“优秀组织奖”“最佳网络人气奖”。汉语言文学专业</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zh-CN"/>
        </w:rPr>
        <w:t>14级学生龙夏萍出版散文集《不苦》，获全国大学生自强之星提名奖。立项省级大学生研究性学习与创新性实验计划项目</w:t>
      </w:r>
      <w:r>
        <w:rPr>
          <w:rFonts w:hint="eastAsia" w:ascii="仿宋_GB2312" w:hAnsi="仿宋_GB2312" w:eastAsia="仿宋_GB2312" w:cs="仿宋_GB2312"/>
          <w:sz w:val="32"/>
          <w:szCs w:val="32"/>
        </w:rPr>
        <w:t>3项</w:t>
      </w:r>
      <w:r>
        <w:rPr>
          <w:rFonts w:hint="eastAsia" w:ascii="仿宋_GB2312" w:hAnsi="仿宋_GB2312" w:eastAsia="仿宋_GB2312" w:cs="仿宋_GB2312"/>
          <w:sz w:val="32"/>
          <w:szCs w:val="32"/>
          <w:lang w:val="zh-CN"/>
        </w:rPr>
        <w:t>。近五年，我院毕业生共有</w:t>
      </w:r>
      <w:r>
        <w:rPr>
          <w:rFonts w:hint="eastAsia" w:ascii="仿宋_GB2312" w:hAnsi="仿宋_GB2312" w:eastAsia="仿宋_GB2312" w:cs="仿宋_GB2312"/>
          <w:sz w:val="32"/>
          <w:szCs w:val="32"/>
        </w:rPr>
        <w:t>113</w:t>
      </w:r>
      <w:r>
        <w:rPr>
          <w:rFonts w:hint="eastAsia" w:ascii="仿宋_GB2312" w:hAnsi="仿宋_GB2312" w:eastAsia="仿宋_GB2312" w:cs="仿宋_GB2312"/>
          <w:sz w:val="32"/>
          <w:szCs w:val="32"/>
          <w:lang w:val="zh-CN"/>
        </w:rPr>
        <w:t>人成功考研</w:t>
      </w:r>
      <w:r>
        <w:rPr>
          <w:rFonts w:hint="eastAsia" w:ascii="仿宋_GB2312" w:hAnsi="仿宋_GB2312" w:eastAsia="仿宋_GB2312" w:cs="仿宋_GB2312"/>
          <w:sz w:val="32"/>
          <w:szCs w:val="32"/>
        </w:rPr>
        <w:t>，教师资格</w:t>
      </w:r>
      <w:r>
        <w:rPr>
          <w:rFonts w:hint="eastAsia" w:ascii="仿宋_GB2312" w:hAnsi="仿宋_GB2312" w:eastAsia="仿宋_GB2312" w:cs="仿宋_GB2312"/>
          <w:sz w:val="32"/>
          <w:szCs w:val="32"/>
          <w:lang w:val="en-US" w:eastAsia="zh-CN"/>
        </w:rPr>
        <w:t>证</w:t>
      </w:r>
      <w:r>
        <w:rPr>
          <w:rFonts w:hint="eastAsia" w:ascii="仿宋_GB2312" w:hAnsi="仿宋_GB2312" w:eastAsia="仿宋_GB2312" w:cs="仿宋_GB2312"/>
          <w:sz w:val="32"/>
          <w:szCs w:val="32"/>
        </w:rPr>
        <w:t>考试通过率达75%以上，英语四六级考试通过率位于全校前列</w:t>
      </w:r>
      <w:r>
        <w:rPr>
          <w:rFonts w:hint="eastAsia" w:ascii="仿宋_GB2312" w:hAnsi="仿宋_GB2312" w:eastAsia="仿宋_GB2312" w:cs="仿宋_GB2312"/>
          <w:sz w:val="32"/>
          <w:szCs w:val="32"/>
          <w:lang w:val="zh-CN"/>
        </w:rPr>
        <w:t>。毕业生总体就业率达到</w:t>
      </w:r>
      <w:r>
        <w:rPr>
          <w:rFonts w:hint="eastAsia" w:ascii="仿宋_GB2312" w:hAnsi="仿宋_GB2312" w:eastAsia="仿宋_GB2312" w:cs="仿宋_GB2312"/>
          <w:sz w:val="32"/>
          <w:szCs w:val="32"/>
        </w:rPr>
        <w:t>90%以上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用人单位对毕业生的满意度高</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center"/>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6.办学条件逐步改善</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jc w:val="both"/>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充分认识到平台育人、环境育人的重要性，把改善办学条件作为重要工作来抓。一方面，申报建设了湖南省舜文化研究基地、南岭走廊与潇湘文化研究基地、瑶文化传承基地、女书科普基地等系列高层次科研平台，实现科教协同育人，为学生成长成才、研究性学习提供支持。另一方面，在硬件建设上也取得长足发展。建设研讨式教室2间，模拟法庭实训室1间，“三全育人”辅导室3间，所有教室实现了多媒体云平台教学。同时，建设了教授博士工作室11间、教师休息室2间，增强了师生员工获得感、认同感和归属感。</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center"/>
        <w:rPr>
          <w:rFonts w:hint="eastAsia" w:ascii="楷体_GB2312" w:hAnsi="楷体_GB2312" w:eastAsia="楷体_GB2312" w:cs="楷体_GB2312"/>
          <w:b/>
          <w:bCs/>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t>（二）存在的主要问题</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jc w:val="both"/>
        <w:textAlignment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通过</w:t>
      </w:r>
      <w:r>
        <w:rPr>
          <w:rFonts w:hint="eastAsia" w:ascii="仿宋_GB2312" w:hAnsi="仿宋_GB2312" w:eastAsia="仿宋_GB2312" w:cs="仿宋_GB2312"/>
          <w:sz w:val="32"/>
          <w:szCs w:val="32"/>
        </w:rPr>
        <w:t>全体教职工的努力</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“十三五”期间取得了一些成绩。但我们的工作还存在一些问题</w:t>
      </w:r>
      <w:r>
        <w:rPr>
          <w:rFonts w:hint="eastAsia" w:ascii="仿宋_GB2312" w:hAnsi="仿宋_GB2312" w:eastAsia="仿宋_GB2312" w:cs="仿宋_GB2312"/>
          <w:sz w:val="32"/>
          <w:szCs w:val="32"/>
          <w:lang w:val="en-US" w:eastAsia="zh-CN"/>
        </w:rPr>
        <w:t>和不足</w:t>
      </w:r>
      <w:r>
        <w:rPr>
          <w:rFonts w:hint="eastAsia" w:ascii="仿宋_GB2312" w:hAnsi="仿宋_GB2312" w:eastAsia="仿宋_GB2312" w:cs="仿宋_GB2312"/>
          <w:sz w:val="32"/>
          <w:szCs w:val="32"/>
        </w:rPr>
        <w:t>：一是二级学院办学自主权有待进一步加强，学院办学活力和教师凝聚力、战斗力尚需进一步激发；二是专业建设不均衡，汉语言文学、秘书学、法学各专业发展水平参差不齐；三是人才培养与社会需求契合度有待进一步提升，法学专业毕业生初次就业率偏低；四是师资队伍老龄化，高水平学科带头人、学术领军人物缺乏；五是标志性项目和高水平成果不多，服务地方成效还不够显著。虽然工作中还存在一些问题，但我们必须找准问题，正视差距，以学校第四次党代会精神为指引，群策群力，精准施策，全面推进人才培养、教学科研、学科建设以及服务地方等各方面工作。</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center"/>
        <w:rPr>
          <w:rFonts w:hint="eastAsia" w:ascii="仿宋_GB2312" w:hAnsi="仿宋_GB2312" w:eastAsia="仿宋_GB2312" w:cs="仿宋_GB2312"/>
          <w:sz w:val="32"/>
          <w:szCs w:val="32"/>
        </w:rPr>
      </w:pPr>
      <w:r>
        <w:rPr>
          <w:rFonts w:hint="eastAsia" w:ascii="楷体_GB2312" w:hAnsi="楷体_GB2312" w:eastAsia="楷体_GB2312" w:cs="楷体_GB2312"/>
          <w:b/>
          <w:bCs/>
          <w:kern w:val="2"/>
          <w:sz w:val="32"/>
          <w:szCs w:val="32"/>
          <w:lang w:val="en-US" w:eastAsia="zh-CN" w:bidi="ar-SA"/>
        </w:rPr>
        <w:t>（三）面临的机遇与挑战</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jc w:val="both"/>
        <w:textAlignment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机遇：“十四五”期间，教育部将继续推进一流专业“双万计划”和新文科建设，湖南省将启动新一轮高等学校“双一流”学科建设和硕士学位授权点申报工作，出台了《</w:t>
      </w:r>
      <w:r>
        <w:rPr>
          <w:rFonts w:hint="eastAsia" w:ascii="仿宋_GB2312" w:hAnsi="仿宋_GB2312" w:eastAsia="仿宋_GB2312" w:cs="仿宋_GB2312"/>
          <w:sz w:val="32"/>
          <w:szCs w:val="32"/>
        </w:rPr>
        <w:t>湖南省师范生公费教育实施办法</w:t>
      </w:r>
      <w:r>
        <w:rPr>
          <w:rFonts w:hint="eastAsia" w:ascii="仿宋_GB2312" w:hAnsi="仿宋_GB2312" w:eastAsia="仿宋_GB2312" w:cs="仿宋_GB2312"/>
          <w:sz w:val="32"/>
          <w:szCs w:val="32"/>
          <w:lang w:val="en-US" w:eastAsia="zh-CN"/>
        </w:rPr>
        <w:t>》，中共中央办公厅、国务院办公厅印发了《关于加快推进乡村人才振兴的意见》《关于实施中华优秀传统文化传承发展工程的意见》，</w:t>
      </w:r>
      <w:r>
        <w:rPr>
          <w:rFonts w:hint="eastAsia" w:ascii="仿宋_GB2312" w:hAnsi="仿宋_GB2312" w:eastAsia="仿宋_GB2312" w:cs="仿宋_GB2312"/>
          <w:sz w:val="32"/>
          <w:szCs w:val="32"/>
        </w:rPr>
        <w:t>学校党代会报告提出</w:t>
      </w:r>
      <w:r>
        <w:rPr>
          <w:rFonts w:hint="eastAsia" w:ascii="仿宋_GB2312" w:hAnsi="仿宋_GB2312" w:eastAsia="仿宋_GB2312" w:cs="仿宋_GB2312"/>
          <w:sz w:val="32"/>
          <w:szCs w:val="32"/>
          <w:lang w:val="en-US" w:eastAsia="zh-CN"/>
        </w:rPr>
        <w:t>了</w:t>
      </w:r>
      <w:r>
        <w:rPr>
          <w:rFonts w:hint="eastAsia" w:ascii="仿宋_GB2312" w:hAnsi="仿宋_GB2312" w:eastAsia="仿宋_GB2312" w:cs="仿宋_GB2312"/>
          <w:sz w:val="32"/>
          <w:szCs w:val="32"/>
        </w:rPr>
        <w:t>“繁荣以地方历史文化为依托的人文社会科学，推动新文科建设。深入挖掘地方文化，开展南岭走廊与潇湘文化、永州传统村落数字化保护等研究，力促永州乡村振兴”的要求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这些政策制度的施行，给文法学院的一流专业申报、学科建设、人才培养、优秀地方文化的挖掘</w:t>
      </w:r>
      <w:r>
        <w:rPr>
          <w:rFonts w:hint="eastAsia" w:ascii="仿宋_GB2312" w:hAnsi="仿宋_GB2312" w:eastAsia="仿宋_GB2312" w:cs="仿宋_GB2312"/>
          <w:sz w:val="32"/>
          <w:szCs w:val="32"/>
        </w:rPr>
        <w:t>提供了良好的机遇。</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jc w:val="both"/>
        <w:textAlignment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挑战：</w:t>
      </w:r>
      <w:r>
        <w:rPr>
          <w:rFonts w:hint="eastAsia" w:ascii="仿宋_GB2312" w:hAnsi="仿宋_GB2312" w:eastAsia="仿宋_GB2312" w:cs="仿宋_GB2312"/>
          <w:sz w:val="32"/>
          <w:szCs w:val="32"/>
        </w:rPr>
        <w:t>学校地处永州，区位优势不明显，各种资源都有待开发。随着高等教育和科技的发展，人才竞争日趋激烈，造成人才引进困难，师资队伍建设效果不明显。学术资源内卷，地方二本院校在国家级课题申报、教学科研成果奖的获取、高级别标志性成果的发表等方面</w:t>
      </w:r>
      <w:r>
        <w:rPr>
          <w:rFonts w:hint="eastAsia" w:ascii="仿宋_GB2312" w:hAnsi="仿宋_GB2312" w:eastAsia="仿宋_GB2312" w:cs="仿宋_GB2312"/>
          <w:sz w:val="32"/>
          <w:szCs w:val="32"/>
          <w:lang w:val="en-US" w:eastAsia="zh-CN"/>
        </w:rPr>
        <w:t>难度加大</w:t>
      </w:r>
      <w:r>
        <w:rPr>
          <w:rFonts w:hint="eastAsia" w:ascii="仿宋_GB2312" w:hAnsi="仿宋_GB2312" w:eastAsia="仿宋_GB2312" w:cs="仿宋_GB2312"/>
          <w:sz w:val="32"/>
          <w:szCs w:val="32"/>
        </w:rPr>
        <w:t>。新冠疫情影响使得教育模式、教育教学手段都发生了深层次变化，对于传统学科都是一种挑战。</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jc w:val="both"/>
        <w:textAlignment w:val="center"/>
        <w:outlineLvl w:val="0"/>
        <w:rPr>
          <w:rFonts w:hint="eastAsia" w:ascii="黑体" w:hAnsi="黑体" w:eastAsia="黑体" w:cs="黑体"/>
          <w:b w:val="0"/>
          <w:bCs w:val="0"/>
          <w:sz w:val="32"/>
          <w:szCs w:val="32"/>
        </w:rPr>
      </w:pPr>
      <w:r>
        <w:rPr>
          <w:rFonts w:hint="eastAsia" w:ascii="黑体" w:hAnsi="黑体" w:eastAsia="黑体" w:cs="黑体"/>
          <w:b w:val="0"/>
          <w:bCs w:val="0"/>
          <w:sz w:val="32"/>
          <w:szCs w:val="32"/>
        </w:rPr>
        <w:t>二、指导思想与建设目标</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center"/>
        <w:rPr>
          <w:rFonts w:hint="default" w:ascii="楷体_GB2312" w:hAnsi="楷体_GB2312" w:eastAsia="楷体_GB2312" w:cs="楷体_GB2312"/>
          <w:b/>
          <w:bCs/>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t>（一）指导思想和发展定位</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jc w:val="both"/>
        <w:textAlignment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四五”时期，学院事业发展的指导思想：以习近平新时代中国特色社会主义思想为指导，全面贯彻党的教育方针和学校第四次党代会精神，坚持“政治建院、人才兴院、教学立院、科技强院、质量铸院”的办学方针，以党建为引领，以人才培养为中心，以内涵建设为根本，以改革创新为动力，以规范管理为抓手，落实立德树人根本任务，强优势、补短板、激活力、创特色，力争办学层次和标志性成果实现新的突破，将学院建设成为区域</w:t>
      </w:r>
      <w:r>
        <w:rPr>
          <w:rFonts w:hint="eastAsia" w:ascii="仿宋_GB2312" w:hAnsi="仿宋_GB2312" w:eastAsia="仿宋_GB2312" w:cs="仿宋_GB2312"/>
          <w:sz w:val="32"/>
          <w:szCs w:val="32"/>
          <w:lang w:val="en-US" w:eastAsia="zh-CN"/>
        </w:rPr>
        <w:t>领先的</w:t>
      </w:r>
      <w:r>
        <w:rPr>
          <w:rFonts w:hint="eastAsia" w:ascii="仿宋_GB2312" w:hAnsi="仿宋_GB2312" w:eastAsia="仿宋_GB2312" w:cs="仿宋_GB2312"/>
          <w:sz w:val="32"/>
          <w:szCs w:val="32"/>
        </w:rPr>
        <w:t>高水平文法学院。</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center"/>
        <w:rPr>
          <w:rFonts w:hint="eastAsia" w:ascii="楷体_GB2312" w:hAnsi="楷体_GB2312" w:eastAsia="楷体_GB2312" w:cs="楷体_GB2312"/>
          <w:b/>
          <w:bCs/>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t>（二）建设目标</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center"/>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1.总体目标</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jc w:val="both"/>
        <w:textAlignment w:val="center"/>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sz w:val="32"/>
          <w:szCs w:val="32"/>
        </w:rPr>
        <w:t>立足地方，对标一流学科专业、新文科建设和申硕工作，确保中国语言文学学科立项“十四五”省级应用特色学科、法学学科立项校级应用特色学科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力争汉语言文学专业立项国家级一流专业、法学和秘书学入围省级一流专业，</w:t>
      </w:r>
      <w:r>
        <w:rPr>
          <w:rFonts w:hint="eastAsia" w:ascii="仿宋_GB2312" w:hAnsi="仿宋_GB2312" w:eastAsia="仿宋_GB2312" w:cs="仿宋_GB2312"/>
          <w:sz w:val="32"/>
          <w:szCs w:val="32"/>
          <w:lang w:val="en-US" w:eastAsia="zh-CN"/>
        </w:rPr>
        <w:t>中国语言文学</w:t>
      </w:r>
      <w:r>
        <w:rPr>
          <w:rFonts w:hint="eastAsia" w:ascii="仿宋_GB2312" w:hAnsi="仿宋_GB2312" w:eastAsia="仿宋_GB2312" w:cs="仿宋_GB2312"/>
          <w:sz w:val="32"/>
          <w:szCs w:val="32"/>
        </w:rPr>
        <w:t>学科专业建设位于省内同类学院第一方阵，建设成为学术型硕士点；法学学科专业建设</w:t>
      </w:r>
      <w:r>
        <w:rPr>
          <w:rFonts w:hint="eastAsia" w:ascii="仿宋_GB2312" w:hAnsi="仿宋_GB2312" w:eastAsia="仿宋_GB2312" w:cs="仿宋_GB2312"/>
          <w:sz w:val="32"/>
          <w:szCs w:val="32"/>
          <w:lang w:val="en-US" w:eastAsia="zh-CN"/>
        </w:rPr>
        <w:t>成效显著提高</w:t>
      </w:r>
      <w:r>
        <w:rPr>
          <w:rFonts w:hint="eastAsia" w:ascii="仿宋_GB2312" w:hAnsi="仿宋_GB2312" w:eastAsia="仿宋_GB2312" w:cs="仿宋_GB2312"/>
          <w:sz w:val="32"/>
          <w:szCs w:val="32"/>
        </w:rPr>
        <w:t>，积极建设成为专业型硕士点，力争实现学院办学层次的突破；推进教育教学改革和科技创新，力争实现教学科研成果或平台的突破，学科专业水平和人才培养质量得到显著提升。</w:t>
      </w:r>
      <w:r>
        <w:rPr>
          <w:rFonts w:hint="eastAsia" w:ascii="仿宋_GB2312" w:hAnsi="仿宋_GB2312" w:eastAsia="仿宋_GB2312" w:cs="仿宋_GB2312"/>
          <w:sz w:val="32"/>
          <w:szCs w:val="32"/>
          <w:lang w:val="en-US" w:eastAsia="zh-CN"/>
        </w:rPr>
        <w:t>继续开展优秀传统文化研究与传承创新工作，挖掘整理地方优秀文化，为地方文化建设和经济社会发展提供智力支持，提升服务社会能力和水平。</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center"/>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2.定量指标</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562" w:firstLineChars="200"/>
        <w:jc w:val="center"/>
        <w:textAlignment w:val="center"/>
        <w:rPr>
          <w:rFonts w:hint="eastAsia" w:ascii="仿宋" w:hAnsi="仿宋" w:eastAsia="仿宋" w:cs="仿宋"/>
          <w:b/>
          <w:bCs/>
          <w:sz w:val="28"/>
          <w:szCs w:val="28"/>
        </w:rPr>
      </w:pPr>
      <w:r>
        <w:rPr>
          <w:rFonts w:hint="eastAsia" w:ascii="仿宋" w:hAnsi="仿宋" w:eastAsia="仿宋" w:cs="仿宋"/>
          <w:b/>
          <w:bCs/>
          <w:sz w:val="28"/>
          <w:szCs w:val="28"/>
        </w:rPr>
        <w:t>文法学院“十四五”发展任务计划表</w:t>
      </w:r>
    </w:p>
    <w:tbl>
      <w:tblPr>
        <w:tblStyle w:val="10"/>
        <w:tblW w:w="8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4151"/>
        <w:gridCol w:w="1097"/>
        <w:gridCol w:w="1143"/>
        <w:gridCol w:w="1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
                <w:bCs w:val="0"/>
                <w:color w:val="000000"/>
                <w:kern w:val="0"/>
                <w:sz w:val="21"/>
                <w:szCs w:val="21"/>
              </w:rPr>
            </w:pPr>
            <w:r>
              <w:rPr>
                <w:rFonts w:hint="eastAsia" w:ascii="仿宋" w:hAnsi="仿宋" w:eastAsia="仿宋" w:cs="仿宋"/>
                <w:b/>
                <w:bCs w:val="0"/>
                <w:color w:val="000000"/>
                <w:kern w:val="0"/>
                <w:sz w:val="21"/>
                <w:szCs w:val="21"/>
              </w:rPr>
              <w:t>任务</w:t>
            </w: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
                <w:bCs w:val="0"/>
                <w:color w:val="000000"/>
                <w:kern w:val="0"/>
                <w:sz w:val="21"/>
                <w:szCs w:val="21"/>
              </w:rPr>
            </w:pPr>
            <w:r>
              <w:rPr>
                <w:rFonts w:hint="eastAsia" w:ascii="仿宋" w:hAnsi="仿宋" w:eastAsia="仿宋" w:cs="仿宋"/>
                <w:b/>
                <w:bCs w:val="0"/>
                <w:color w:val="000000"/>
                <w:kern w:val="0"/>
                <w:sz w:val="21"/>
                <w:szCs w:val="21"/>
              </w:rPr>
              <w:t>指标名称</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
                <w:bCs w:val="0"/>
                <w:color w:val="000000"/>
                <w:kern w:val="0"/>
                <w:sz w:val="21"/>
                <w:szCs w:val="21"/>
              </w:rPr>
            </w:pPr>
            <w:r>
              <w:rPr>
                <w:rFonts w:hint="eastAsia" w:ascii="仿宋" w:hAnsi="仿宋" w:eastAsia="仿宋" w:cs="仿宋"/>
                <w:b/>
                <w:bCs w:val="0"/>
                <w:color w:val="000000"/>
                <w:kern w:val="0"/>
                <w:sz w:val="21"/>
                <w:szCs w:val="21"/>
              </w:rPr>
              <w:t>2021年</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
                <w:bCs w:val="0"/>
                <w:color w:val="000000"/>
                <w:kern w:val="0"/>
                <w:sz w:val="21"/>
                <w:szCs w:val="21"/>
              </w:rPr>
            </w:pPr>
            <w:r>
              <w:rPr>
                <w:rFonts w:hint="eastAsia" w:ascii="仿宋" w:hAnsi="仿宋" w:eastAsia="仿宋" w:cs="仿宋"/>
                <w:b/>
                <w:bCs w:val="0"/>
                <w:color w:val="000000"/>
                <w:kern w:val="0"/>
                <w:sz w:val="21"/>
                <w:szCs w:val="21"/>
              </w:rPr>
              <w:t>2022年</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
                <w:bCs w:val="0"/>
                <w:color w:val="000000"/>
                <w:kern w:val="0"/>
                <w:sz w:val="21"/>
                <w:szCs w:val="21"/>
              </w:rPr>
            </w:pPr>
            <w:r>
              <w:rPr>
                <w:rFonts w:hint="eastAsia" w:ascii="仿宋" w:hAnsi="仿宋" w:eastAsia="仿宋" w:cs="仿宋"/>
                <w:b/>
                <w:bCs w:val="0"/>
                <w:color w:val="000000"/>
                <w:kern w:val="0"/>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仿宋" w:hAnsi="仿宋" w:eastAsia="仿宋" w:cs="仿宋"/>
                <w:bCs/>
                <w:color w:val="000000"/>
                <w:kern w:val="0"/>
                <w:sz w:val="21"/>
                <w:szCs w:val="21"/>
                <w:lang w:val="en-US" w:eastAsia="zh-CN"/>
              </w:rPr>
            </w:pPr>
            <w:r>
              <w:rPr>
                <w:rFonts w:hint="eastAsia" w:ascii="仿宋" w:hAnsi="仿宋" w:eastAsia="仿宋" w:cs="仿宋"/>
                <w:bCs/>
                <w:color w:val="000000"/>
                <w:kern w:val="0"/>
                <w:sz w:val="21"/>
                <w:szCs w:val="21"/>
                <w:lang w:val="en-US" w:eastAsia="zh-CN"/>
              </w:rPr>
              <w:t>师资队伍</w:t>
            </w: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（达到）教授</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仿宋" w:hAnsi="仿宋" w:eastAsia="仿宋" w:cs="仿宋"/>
                <w:bCs/>
                <w:color w:val="auto"/>
                <w:kern w:val="0"/>
                <w:sz w:val="21"/>
                <w:szCs w:val="21"/>
                <w:lang w:val="en-US" w:eastAsia="zh-CN"/>
              </w:rPr>
            </w:pPr>
            <w:r>
              <w:rPr>
                <w:rFonts w:hint="eastAsia" w:ascii="仿宋" w:hAnsi="仿宋" w:eastAsia="仿宋" w:cs="仿宋"/>
                <w:bCs/>
                <w:color w:val="auto"/>
                <w:kern w:val="0"/>
                <w:sz w:val="21"/>
                <w:szCs w:val="21"/>
                <w:lang w:val="en-US" w:eastAsia="zh-CN"/>
              </w:rPr>
              <w:t>8</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仿宋" w:hAnsi="仿宋" w:eastAsia="仿宋" w:cs="仿宋"/>
                <w:bCs/>
                <w:color w:val="auto"/>
                <w:kern w:val="0"/>
                <w:sz w:val="21"/>
                <w:szCs w:val="21"/>
                <w:lang w:val="en-US" w:eastAsia="zh-CN"/>
              </w:rPr>
            </w:pPr>
            <w:r>
              <w:rPr>
                <w:rFonts w:hint="eastAsia" w:ascii="仿宋" w:hAnsi="仿宋" w:eastAsia="仿宋" w:cs="仿宋"/>
                <w:bCs/>
                <w:color w:val="auto"/>
                <w:kern w:val="0"/>
                <w:sz w:val="21"/>
                <w:szCs w:val="21"/>
                <w:lang w:val="en-US" w:eastAsia="zh-CN"/>
              </w:rPr>
              <w:t>10</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仿宋" w:hAnsi="仿宋" w:eastAsia="仿宋" w:cs="仿宋"/>
                <w:bCs/>
                <w:color w:val="auto"/>
                <w:kern w:val="0"/>
                <w:sz w:val="21"/>
                <w:szCs w:val="21"/>
                <w:lang w:val="en-US" w:eastAsia="zh-CN"/>
              </w:rPr>
            </w:pPr>
            <w:r>
              <w:rPr>
                <w:rFonts w:hint="eastAsia" w:ascii="仿宋" w:hAnsi="仿宋" w:eastAsia="仿宋" w:cs="仿宋"/>
                <w:bCs/>
                <w:color w:val="auto"/>
                <w:kern w:val="0"/>
                <w:sz w:val="21"/>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（达到）副教授</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lang w:val="en-US" w:eastAsia="zh-CN"/>
              </w:rPr>
              <w:t>20</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bCs/>
                <w:color w:val="auto"/>
                <w:kern w:val="0"/>
                <w:sz w:val="21"/>
                <w:szCs w:val="21"/>
                <w:lang w:eastAsia="zh-CN"/>
              </w:rPr>
            </w:pPr>
            <w:r>
              <w:rPr>
                <w:rFonts w:hint="eastAsia" w:ascii="仿宋" w:hAnsi="仿宋" w:eastAsia="仿宋" w:cs="仿宋"/>
                <w:bCs/>
                <w:color w:val="auto"/>
                <w:kern w:val="0"/>
                <w:sz w:val="21"/>
                <w:szCs w:val="21"/>
              </w:rPr>
              <w:t>2</w:t>
            </w:r>
            <w:r>
              <w:rPr>
                <w:rFonts w:hint="eastAsia" w:ascii="仿宋" w:hAnsi="仿宋" w:eastAsia="仿宋" w:cs="仿宋"/>
                <w:bCs/>
                <w:color w:val="auto"/>
                <w:kern w:val="0"/>
                <w:sz w:val="21"/>
                <w:szCs w:val="21"/>
                <w:lang w:val="en-US" w:eastAsia="zh-CN"/>
              </w:rPr>
              <w:t>3</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bCs/>
                <w:color w:val="auto"/>
                <w:kern w:val="0"/>
                <w:sz w:val="21"/>
                <w:szCs w:val="21"/>
                <w:lang w:eastAsia="zh-CN"/>
              </w:rPr>
            </w:pPr>
            <w:r>
              <w:rPr>
                <w:rFonts w:hint="eastAsia" w:ascii="仿宋" w:hAnsi="仿宋" w:eastAsia="仿宋" w:cs="仿宋"/>
                <w:bCs/>
                <w:color w:val="auto"/>
                <w:kern w:val="0"/>
                <w:sz w:val="21"/>
                <w:szCs w:val="21"/>
              </w:rPr>
              <w:t>2</w:t>
            </w:r>
            <w:r>
              <w:rPr>
                <w:rFonts w:hint="eastAsia" w:ascii="仿宋" w:hAnsi="仿宋" w:eastAsia="仿宋" w:cs="仿宋"/>
                <w:bCs/>
                <w:color w:val="auto"/>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（达到）博士人数</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19</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22</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bCs/>
                <w:color w:val="auto"/>
                <w:kern w:val="0"/>
                <w:sz w:val="21"/>
                <w:szCs w:val="21"/>
                <w:lang w:eastAsia="zh-CN"/>
              </w:rPr>
            </w:pPr>
            <w:r>
              <w:rPr>
                <w:rFonts w:hint="eastAsia" w:ascii="仿宋" w:hAnsi="仿宋" w:eastAsia="仿宋" w:cs="仿宋"/>
                <w:bCs/>
                <w:color w:val="auto"/>
                <w:kern w:val="0"/>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（新增）省级以上人才称号</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bCs/>
                <w:color w:val="auto"/>
                <w:kern w:val="0"/>
                <w:sz w:val="21"/>
                <w:szCs w:val="21"/>
                <w:lang w:eastAsia="zh-CN"/>
              </w:rPr>
            </w:pPr>
            <w:r>
              <w:rPr>
                <w:rFonts w:hint="eastAsia" w:ascii="仿宋" w:hAnsi="仿宋" w:eastAsia="仿宋" w:cs="仿宋"/>
                <w:bCs/>
                <w:color w:val="auto"/>
                <w:kern w:val="0"/>
                <w:sz w:val="21"/>
                <w:szCs w:val="21"/>
                <w:lang w:val="en-US" w:eastAsia="zh-CN"/>
              </w:rPr>
              <w:t>1</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bCs/>
                <w:color w:val="auto"/>
                <w:kern w:val="0"/>
                <w:sz w:val="21"/>
                <w:szCs w:val="21"/>
                <w:lang w:eastAsia="zh-CN"/>
              </w:rPr>
            </w:pPr>
            <w:r>
              <w:rPr>
                <w:rFonts w:hint="eastAsia" w:ascii="仿宋" w:hAnsi="仿宋" w:eastAsia="仿宋" w:cs="仿宋"/>
                <w:bCs/>
                <w:color w:val="auto"/>
                <w:kern w:val="0"/>
                <w:sz w:val="21"/>
                <w:szCs w:val="21"/>
                <w:lang w:val="en-US" w:eastAsia="zh-CN"/>
              </w:rPr>
              <w:t>1</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bCs/>
                <w:color w:val="auto"/>
                <w:kern w:val="0"/>
                <w:sz w:val="21"/>
                <w:szCs w:val="21"/>
                <w:lang w:eastAsia="zh-CN"/>
              </w:rPr>
            </w:pPr>
            <w:r>
              <w:rPr>
                <w:rFonts w:hint="eastAsia" w:ascii="仿宋" w:hAnsi="仿宋" w:eastAsia="仿宋" w:cs="仿宋"/>
                <w:bCs/>
                <w:color w:val="auto"/>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（达到）双师双能型教师</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16</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18</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人</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才</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培</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养</w:t>
            </w: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（达到）全日制学生数</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16</w:t>
            </w:r>
            <w:r>
              <w:rPr>
                <w:rFonts w:hint="eastAsia" w:ascii="仿宋" w:hAnsi="仿宋" w:eastAsia="仿宋" w:cs="仿宋"/>
                <w:bCs/>
                <w:color w:val="auto"/>
                <w:kern w:val="0"/>
                <w:sz w:val="21"/>
                <w:szCs w:val="21"/>
                <w:lang w:val="en-US" w:eastAsia="zh-CN"/>
              </w:rPr>
              <w:t>5</w:t>
            </w:r>
            <w:r>
              <w:rPr>
                <w:rFonts w:hint="eastAsia" w:ascii="仿宋" w:hAnsi="仿宋" w:eastAsia="仿宋" w:cs="仿宋"/>
                <w:bCs/>
                <w:color w:val="auto"/>
                <w:kern w:val="0"/>
                <w:sz w:val="21"/>
                <w:szCs w:val="21"/>
              </w:rPr>
              <w:t>0</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1</w:t>
            </w:r>
            <w:r>
              <w:rPr>
                <w:rFonts w:hint="eastAsia" w:ascii="仿宋" w:hAnsi="仿宋" w:eastAsia="仿宋" w:cs="仿宋"/>
                <w:bCs/>
                <w:color w:val="auto"/>
                <w:kern w:val="0"/>
                <w:sz w:val="21"/>
                <w:szCs w:val="21"/>
                <w:lang w:val="en-US" w:eastAsia="zh-CN"/>
              </w:rPr>
              <w:t>66</w:t>
            </w:r>
            <w:r>
              <w:rPr>
                <w:rFonts w:hint="eastAsia" w:ascii="仿宋" w:hAnsi="仿宋" w:eastAsia="仿宋" w:cs="仿宋"/>
                <w:bCs/>
                <w:color w:val="auto"/>
                <w:kern w:val="0"/>
                <w:sz w:val="21"/>
                <w:szCs w:val="21"/>
              </w:rPr>
              <w:t>0</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1</w:t>
            </w:r>
            <w:r>
              <w:rPr>
                <w:rFonts w:hint="eastAsia" w:ascii="仿宋" w:hAnsi="仿宋" w:eastAsia="仿宋" w:cs="仿宋"/>
                <w:bCs/>
                <w:color w:val="auto"/>
                <w:kern w:val="0"/>
                <w:sz w:val="21"/>
                <w:szCs w:val="21"/>
                <w:lang w:val="en-US" w:eastAsia="zh-CN"/>
              </w:rPr>
              <w:t>7</w:t>
            </w:r>
            <w:r>
              <w:rPr>
                <w:rFonts w:hint="eastAsia" w:ascii="仿宋" w:hAnsi="仿宋" w:eastAsia="仿宋" w:cs="仿宋"/>
                <w:bCs/>
                <w:color w:val="auto"/>
                <w:kern w:val="0"/>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（新增）国家级一流专业</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0</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1</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（达到）省级一流专业</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1</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1</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（新增）省级一流课程</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1</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1</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（新增）省级教学比赛获奖</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0</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1</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（新增）省级教学成果奖</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bCs/>
                <w:color w:val="auto"/>
                <w:kern w:val="0"/>
                <w:sz w:val="21"/>
                <w:szCs w:val="21"/>
                <w:lang w:eastAsia="zh-CN"/>
              </w:rPr>
            </w:pPr>
            <w:r>
              <w:rPr>
                <w:rFonts w:hint="eastAsia" w:ascii="仿宋" w:hAnsi="仿宋" w:eastAsia="仿宋" w:cs="仿宋"/>
                <w:bCs/>
                <w:color w:val="auto"/>
                <w:kern w:val="0"/>
                <w:sz w:val="21"/>
                <w:szCs w:val="21"/>
                <w:lang w:val="en-US" w:eastAsia="zh-CN"/>
              </w:rPr>
              <w:t>0</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bCs/>
                <w:color w:val="auto"/>
                <w:kern w:val="0"/>
                <w:sz w:val="21"/>
                <w:szCs w:val="21"/>
                <w:lang w:eastAsia="zh-CN"/>
              </w:rPr>
            </w:pPr>
            <w:r>
              <w:rPr>
                <w:rFonts w:hint="eastAsia" w:ascii="仿宋" w:hAnsi="仿宋" w:eastAsia="仿宋" w:cs="仿宋"/>
                <w:bCs/>
                <w:color w:val="auto"/>
                <w:kern w:val="0"/>
                <w:sz w:val="21"/>
                <w:szCs w:val="21"/>
                <w:lang w:val="en-US" w:eastAsia="zh-CN"/>
              </w:rPr>
              <w:t>1</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bCs/>
                <w:color w:val="auto"/>
                <w:kern w:val="0"/>
                <w:sz w:val="21"/>
                <w:szCs w:val="21"/>
                <w:lang w:eastAsia="zh-CN"/>
              </w:rPr>
            </w:pPr>
            <w:r>
              <w:rPr>
                <w:rFonts w:hint="eastAsia" w:ascii="仿宋" w:hAnsi="仿宋" w:eastAsia="仿宋" w:cs="仿宋"/>
                <w:bCs/>
                <w:color w:val="auto"/>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（新增）省级教改项目</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bCs/>
                <w:color w:val="auto"/>
                <w:kern w:val="0"/>
                <w:sz w:val="21"/>
                <w:szCs w:val="21"/>
                <w:lang w:eastAsia="zh-CN"/>
              </w:rPr>
            </w:pPr>
            <w:r>
              <w:rPr>
                <w:rFonts w:hint="eastAsia" w:ascii="仿宋" w:hAnsi="仿宋" w:eastAsia="仿宋" w:cs="仿宋"/>
                <w:bCs/>
                <w:color w:val="auto"/>
                <w:kern w:val="0"/>
                <w:sz w:val="21"/>
                <w:szCs w:val="21"/>
                <w:lang w:val="en-US" w:eastAsia="zh-CN"/>
              </w:rPr>
              <w:t>2</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bCs/>
                <w:color w:val="auto"/>
                <w:kern w:val="0"/>
                <w:sz w:val="21"/>
                <w:szCs w:val="21"/>
                <w:lang w:eastAsia="zh-CN"/>
              </w:rPr>
            </w:pPr>
            <w:r>
              <w:rPr>
                <w:rFonts w:hint="eastAsia" w:ascii="仿宋" w:hAnsi="仿宋" w:eastAsia="仿宋" w:cs="仿宋"/>
                <w:bCs/>
                <w:color w:val="auto"/>
                <w:kern w:val="0"/>
                <w:sz w:val="21"/>
                <w:szCs w:val="21"/>
                <w:lang w:val="en-US" w:eastAsia="zh-CN"/>
              </w:rPr>
              <w:t>3</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bCs/>
                <w:color w:val="auto"/>
                <w:kern w:val="0"/>
                <w:sz w:val="21"/>
                <w:szCs w:val="21"/>
                <w:lang w:eastAsia="zh-CN"/>
              </w:rPr>
            </w:pPr>
            <w:r>
              <w:rPr>
                <w:rFonts w:hint="eastAsia" w:ascii="仿宋" w:hAnsi="仿宋" w:eastAsia="仿宋" w:cs="仿宋"/>
                <w:bCs/>
                <w:color w:val="auto"/>
                <w:kern w:val="0"/>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（新增）</w:t>
            </w:r>
            <w:r>
              <w:rPr>
                <w:rFonts w:hint="eastAsia" w:ascii="仿宋" w:hAnsi="仿宋" w:eastAsia="仿宋" w:cs="仿宋"/>
                <w:bCs/>
                <w:color w:val="000000"/>
                <w:kern w:val="0"/>
                <w:sz w:val="21"/>
                <w:szCs w:val="21"/>
                <w:lang w:val="en-US" w:eastAsia="zh-CN"/>
              </w:rPr>
              <w:t>联合培养</w:t>
            </w:r>
            <w:r>
              <w:rPr>
                <w:rFonts w:hint="eastAsia" w:ascii="仿宋" w:hAnsi="仿宋" w:eastAsia="仿宋" w:cs="仿宋"/>
                <w:bCs/>
                <w:color w:val="000000"/>
                <w:kern w:val="0"/>
                <w:sz w:val="21"/>
                <w:szCs w:val="21"/>
              </w:rPr>
              <w:t>研究生人数</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14</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仿宋" w:hAnsi="仿宋" w:eastAsia="仿宋" w:cs="仿宋"/>
                <w:bCs/>
                <w:color w:val="auto"/>
                <w:kern w:val="0"/>
                <w:sz w:val="21"/>
                <w:szCs w:val="21"/>
                <w:lang w:val="en-US" w:eastAsia="zh-CN"/>
              </w:rPr>
            </w:pPr>
            <w:r>
              <w:rPr>
                <w:rFonts w:hint="eastAsia" w:ascii="仿宋" w:hAnsi="仿宋" w:eastAsia="仿宋" w:cs="仿宋"/>
                <w:bCs/>
                <w:color w:val="auto"/>
                <w:kern w:val="0"/>
                <w:sz w:val="21"/>
                <w:szCs w:val="21"/>
              </w:rPr>
              <w:t>28</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仿宋" w:hAnsi="仿宋" w:eastAsia="仿宋" w:cs="仿宋"/>
                <w:bCs/>
                <w:color w:val="auto"/>
                <w:kern w:val="0"/>
                <w:sz w:val="21"/>
                <w:szCs w:val="21"/>
                <w:lang w:val="en-US" w:eastAsia="zh-CN"/>
              </w:rPr>
            </w:pPr>
            <w:r>
              <w:rPr>
                <w:rFonts w:hint="eastAsia" w:ascii="仿宋" w:hAnsi="仿宋" w:eastAsia="仿宋" w:cs="仿宋"/>
                <w:bCs/>
                <w:color w:val="auto"/>
                <w:kern w:val="0"/>
                <w:sz w:val="21"/>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（新增）教材</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1</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bCs/>
                <w:color w:val="auto"/>
                <w:kern w:val="0"/>
                <w:sz w:val="21"/>
                <w:szCs w:val="21"/>
                <w:lang w:eastAsia="zh-CN"/>
              </w:rPr>
            </w:pPr>
            <w:r>
              <w:rPr>
                <w:rFonts w:hint="eastAsia" w:ascii="仿宋" w:hAnsi="仿宋" w:eastAsia="仿宋" w:cs="仿宋"/>
                <w:bCs/>
                <w:color w:val="auto"/>
                <w:kern w:val="0"/>
                <w:sz w:val="21"/>
                <w:szCs w:val="21"/>
                <w:lang w:val="en-US" w:eastAsia="zh-CN"/>
              </w:rPr>
              <w:t>1</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bCs/>
                <w:color w:val="auto"/>
                <w:kern w:val="0"/>
                <w:sz w:val="21"/>
                <w:szCs w:val="21"/>
                <w:lang w:eastAsia="zh-CN"/>
              </w:rPr>
            </w:pPr>
            <w:r>
              <w:rPr>
                <w:rFonts w:hint="eastAsia" w:ascii="仿宋" w:hAnsi="仿宋" w:eastAsia="仿宋" w:cs="仿宋"/>
                <w:bCs/>
                <w:color w:val="auto"/>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（新增）学生省级以上获奖</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8</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10</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学生获省级以上创新创业计划项目</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2</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4</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（新增）学生发表论文数</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8</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lang w:val="en-US" w:eastAsia="zh-CN"/>
              </w:rPr>
              <w:t>15</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科</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学</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研</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究</w:t>
            </w: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（新增）国家社科基金项目</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1</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bCs/>
                <w:color w:val="auto"/>
                <w:kern w:val="0"/>
                <w:sz w:val="21"/>
                <w:szCs w:val="21"/>
                <w:lang w:eastAsia="zh-CN"/>
              </w:rPr>
            </w:pPr>
            <w:r>
              <w:rPr>
                <w:rFonts w:hint="eastAsia" w:ascii="仿宋" w:hAnsi="仿宋" w:eastAsia="仿宋" w:cs="仿宋"/>
                <w:bCs/>
                <w:color w:val="auto"/>
                <w:kern w:val="0"/>
                <w:sz w:val="21"/>
                <w:szCs w:val="21"/>
                <w:lang w:val="en-US" w:eastAsia="zh-CN"/>
              </w:rPr>
              <w:t>2</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（新增）教育部人文社科项目</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1</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2</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（新增）省级科研项目</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仿宋" w:hAnsi="仿宋" w:eastAsia="仿宋" w:cs="仿宋"/>
                <w:bCs/>
                <w:color w:val="auto"/>
                <w:kern w:val="0"/>
                <w:sz w:val="21"/>
                <w:szCs w:val="21"/>
                <w:lang w:val="en-US" w:eastAsia="zh-CN"/>
              </w:rPr>
            </w:pPr>
            <w:r>
              <w:rPr>
                <w:rFonts w:hint="eastAsia" w:ascii="仿宋" w:hAnsi="仿宋" w:eastAsia="仿宋" w:cs="仿宋"/>
                <w:bCs/>
                <w:color w:val="auto"/>
                <w:kern w:val="0"/>
                <w:sz w:val="21"/>
                <w:szCs w:val="21"/>
                <w:lang w:val="en-US" w:eastAsia="zh-CN"/>
              </w:rPr>
              <w:t>10</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仿宋" w:hAnsi="仿宋" w:eastAsia="仿宋" w:cs="仿宋"/>
                <w:bCs/>
                <w:color w:val="auto"/>
                <w:kern w:val="0"/>
                <w:sz w:val="21"/>
                <w:szCs w:val="21"/>
                <w:lang w:val="en-US" w:eastAsia="zh-CN"/>
              </w:rPr>
            </w:pPr>
            <w:r>
              <w:rPr>
                <w:rFonts w:hint="eastAsia" w:ascii="仿宋" w:hAnsi="仿宋" w:eastAsia="仿宋" w:cs="仿宋"/>
                <w:bCs/>
                <w:color w:val="auto"/>
                <w:kern w:val="0"/>
                <w:sz w:val="21"/>
                <w:szCs w:val="21"/>
                <w:lang w:val="en-US" w:eastAsia="zh-CN"/>
              </w:rPr>
              <w:t>12</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仿宋" w:hAnsi="仿宋" w:eastAsia="仿宋" w:cs="仿宋"/>
                <w:bCs/>
                <w:color w:val="auto"/>
                <w:kern w:val="0"/>
                <w:sz w:val="21"/>
                <w:szCs w:val="21"/>
                <w:lang w:val="en-US" w:eastAsia="zh-CN"/>
              </w:rPr>
            </w:pPr>
            <w:r>
              <w:rPr>
                <w:rFonts w:hint="eastAsia" w:ascii="仿宋" w:hAnsi="仿宋" w:eastAsia="仿宋" w:cs="仿宋"/>
                <w:bCs/>
                <w:color w:val="auto"/>
                <w:kern w:val="0"/>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（新增）师均年科研经费</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4</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5</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（新增）省级以上社科成果奖</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0</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bCs/>
                <w:color w:val="auto"/>
                <w:kern w:val="0"/>
                <w:sz w:val="21"/>
                <w:szCs w:val="21"/>
                <w:lang w:eastAsia="zh-CN"/>
              </w:rPr>
            </w:pPr>
            <w:r>
              <w:rPr>
                <w:rFonts w:hint="eastAsia" w:ascii="仿宋" w:hAnsi="仿宋" w:eastAsia="仿宋" w:cs="仿宋"/>
                <w:bCs/>
                <w:color w:val="auto"/>
                <w:kern w:val="0"/>
                <w:sz w:val="21"/>
                <w:szCs w:val="21"/>
                <w:lang w:val="en-US" w:eastAsia="zh-CN"/>
              </w:rPr>
              <w:t>0</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（新增）CSSCI论文数</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10</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12</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仿宋" w:hAnsi="仿宋" w:eastAsia="仿宋" w:cs="仿宋"/>
                <w:bCs/>
                <w:color w:val="auto"/>
                <w:kern w:val="0"/>
                <w:sz w:val="21"/>
                <w:szCs w:val="21"/>
                <w:lang w:val="en-US" w:eastAsia="zh-CN"/>
              </w:rPr>
            </w:pPr>
            <w:r>
              <w:rPr>
                <w:rFonts w:hint="eastAsia" w:ascii="仿宋" w:hAnsi="仿宋" w:eastAsia="仿宋" w:cs="仿宋"/>
                <w:bCs/>
                <w:color w:val="auto"/>
                <w:kern w:val="0"/>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（新增）出版专著</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bCs/>
                <w:color w:val="auto"/>
                <w:kern w:val="0"/>
                <w:sz w:val="21"/>
                <w:szCs w:val="21"/>
                <w:lang w:eastAsia="zh-CN"/>
              </w:rPr>
            </w:pPr>
            <w:r>
              <w:rPr>
                <w:rFonts w:hint="eastAsia" w:ascii="仿宋" w:hAnsi="仿宋" w:eastAsia="仿宋" w:cs="仿宋"/>
                <w:bCs/>
                <w:color w:val="auto"/>
                <w:kern w:val="0"/>
                <w:sz w:val="21"/>
                <w:szCs w:val="21"/>
                <w:lang w:val="en-US" w:eastAsia="zh-CN"/>
              </w:rPr>
              <w:t>4</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bCs/>
                <w:color w:val="auto"/>
                <w:kern w:val="0"/>
                <w:sz w:val="21"/>
                <w:szCs w:val="21"/>
                <w:lang w:eastAsia="zh-CN"/>
              </w:rPr>
            </w:pPr>
            <w:r>
              <w:rPr>
                <w:rFonts w:hint="eastAsia" w:ascii="仿宋" w:hAnsi="仿宋" w:eastAsia="仿宋" w:cs="仿宋"/>
                <w:bCs/>
                <w:color w:val="auto"/>
                <w:kern w:val="0"/>
                <w:sz w:val="21"/>
                <w:szCs w:val="21"/>
                <w:lang w:val="en-US" w:eastAsia="zh-CN"/>
              </w:rPr>
              <w:t>5</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bCs/>
                <w:color w:val="auto"/>
                <w:kern w:val="0"/>
                <w:sz w:val="21"/>
                <w:szCs w:val="21"/>
                <w:lang w:eastAsia="zh-CN"/>
              </w:rPr>
            </w:pPr>
            <w:r>
              <w:rPr>
                <w:rFonts w:hint="eastAsia" w:ascii="仿宋" w:hAnsi="仿宋" w:eastAsia="仿宋" w:cs="仿宋"/>
                <w:bCs/>
                <w:color w:val="auto"/>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地方</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服务</w:t>
            </w: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（新增）咨询服务</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3</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3</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（新增）校地合作项目</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6</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8</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国际</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合作</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交流</w:t>
            </w: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（新增）学生赴境外学习人数</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0</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bCs/>
                <w:color w:val="auto"/>
                <w:kern w:val="0"/>
                <w:sz w:val="21"/>
                <w:szCs w:val="21"/>
                <w:lang w:eastAsia="zh-CN"/>
              </w:rPr>
            </w:pPr>
            <w:r>
              <w:rPr>
                <w:rFonts w:hint="eastAsia" w:ascii="仿宋" w:hAnsi="仿宋" w:eastAsia="仿宋" w:cs="仿宋"/>
                <w:bCs/>
                <w:color w:val="auto"/>
                <w:kern w:val="0"/>
                <w:sz w:val="21"/>
                <w:szCs w:val="21"/>
                <w:lang w:val="en-US" w:eastAsia="zh-CN"/>
              </w:rPr>
              <w:t>2</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bCs/>
                <w:color w:val="auto"/>
                <w:kern w:val="0"/>
                <w:sz w:val="21"/>
                <w:szCs w:val="21"/>
                <w:lang w:eastAsia="zh-CN"/>
              </w:rPr>
            </w:pPr>
            <w:r>
              <w:rPr>
                <w:rFonts w:hint="eastAsia" w:ascii="仿宋" w:hAnsi="仿宋" w:eastAsia="仿宋" w:cs="仿宋"/>
                <w:bCs/>
                <w:color w:val="auto"/>
                <w:kern w:val="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仿宋" w:hAnsi="仿宋" w:eastAsia="仿宋" w:cs="仿宋"/>
                <w:bCs/>
                <w:color w:val="000000"/>
                <w:kern w:val="0"/>
                <w:sz w:val="21"/>
                <w:szCs w:val="21"/>
                <w:lang w:val="en-US" w:eastAsia="zh-CN"/>
              </w:rPr>
            </w:pPr>
            <w:r>
              <w:rPr>
                <w:rFonts w:hint="eastAsia" w:ascii="仿宋" w:hAnsi="仿宋" w:eastAsia="仿宋" w:cs="仿宋"/>
                <w:bCs/>
                <w:color w:val="000000"/>
                <w:kern w:val="0"/>
                <w:sz w:val="21"/>
                <w:szCs w:val="21"/>
              </w:rPr>
              <w:t>（新增）</w:t>
            </w:r>
            <w:r>
              <w:rPr>
                <w:rFonts w:hint="eastAsia" w:ascii="仿宋" w:hAnsi="仿宋" w:eastAsia="仿宋" w:cs="仿宋"/>
                <w:bCs/>
                <w:color w:val="000000"/>
                <w:kern w:val="0"/>
                <w:sz w:val="21"/>
                <w:szCs w:val="21"/>
                <w:lang w:val="en-US" w:eastAsia="zh-CN"/>
              </w:rPr>
              <w:t>教师</w:t>
            </w:r>
            <w:r>
              <w:rPr>
                <w:rFonts w:hint="eastAsia" w:ascii="仿宋" w:hAnsi="仿宋" w:eastAsia="仿宋" w:cs="仿宋"/>
                <w:bCs/>
                <w:color w:val="000000"/>
                <w:kern w:val="0"/>
                <w:sz w:val="21"/>
                <w:szCs w:val="21"/>
              </w:rPr>
              <w:t>赴</w:t>
            </w:r>
            <w:r>
              <w:rPr>
                <w:rFonts w:hint="eastAsia" w:ascii="仿宋" w:hAnsi="仿宋" w:eastAsia="仿宋" w:cs="仿宋"/>
                <w:bCs/>
                <w:color w:val="000000"/>
                <w:kern w:val="0"/>
                <w:sz w:val="21"/>
                <w:szCs w:val="21"/>
                <w:lang w:val="en-US" w:eastAsia="zh-CN"/>
              </w:rPr>
              <w:t>国（境）外交流</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1</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bCs/>
                <w:color w:val="auto"/>
                <w:kern w:val="0"/>
                <w:sz w:val="21"/>
                <w:szCs w:val="21"/>
                <w:lang w:eastAsia="zh-CN"/>
              </w:rPr>
            </w:pPr>
            <w:r>
              <w:rPr>
                <w:rFonts w:hint="eastAsia" w:ascii="仿宋" w:hAnsi="仿宋" w:eastAsia="仿宋" w:cs="仿宋"/>
                <w:bCs/>
                <w:color w:val="auto"/>
                <w:kern w:val="0"/>
                <w:sz w:val="21"/>
                <w:szCs w:val="21"/>
              </w:rPr>
              <w:t>2</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bCs/>
                <w:color w:val="auto"/>
                <w:kern w:val="0"/>
                <w:sz w:val="21"/>
                <w:szCs w:val="21"/>
                <w:lang w:eastAsia="zh-CN"/>
              </w:rPr>
            </w:pPr>
            <w:r>
              <w:rPr>
                <w:rFonts w:hint="eastAsia" w:ascii="仿宋" w:hAnsi="仿宋" w:eastAsia="仿宋" w:cs="仿宋"/>
                <w:bCs/>
                <w:color w:val="auto"/>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（新增）组织召开国际会议</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bCs/>
                <w:color w:val="auto"/>
                <w:kern w:val="0"/>
                <w:sz w:val="21"/>
                <w:szCs w:val="21"/>
                <w:lang w:eastAsia="zh-CN"/>
              </w:rPr>
            </w:pPr>
            <w:r>
              <w:rPr>
                <w:rFonts w:hint="eastAsia" w:ascii="仿宋" w:hAnsi="仿宋" w:eastAsia="仿宋" w:cs="仿宋"/>
                <w:bCs/>
                <w:color w:val="auto"/>
                <w:kern w:val="0"/>
                <w:sz w:val="21"/>
                <w:szCs w:val="21"/>
                <w:lang w:val="en-US" w:eastAsia="zh-CN"/>
              </w:rPr>
              <w:t>0</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1</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bCs/>
                <w:color w:val="auto"/>
                <w:kern w:val="0"/>
                <w:sz w:val="21"/>
                <w:szCs w:val="21"/>
                <w:lang w:eastAsia="zh-CN"/>
              </w:rPr>
            </w:pPr>
            <w:r>
              <w:rPr>
                <w:rFonts w:hint="eastAsia" w:ascii="仿宋" w:hAnsi="仿宋" w:eastAsia="仿宋" w:cs="仿宋"/>
                <w:bCs/>
                <w:color w:val="auto"/>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支撑</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条件</w:t>
            </w: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（达到）省级以上社科研究平台</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3</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4</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bCs/>
                <w:color w:val="auto"/>
                <w:kern w:val="0"/>
                <w:sz w:val="21"/>
                <w:szCs w:val="21"/>
                <w:lang w:eastAsia="zh-CN"/>
              </w:rPr>
            </w:pPr>
            <w:r>
              <w:rPr>
                <w:rFonts w:hint="eastAsia" w:ascii="仿宋" w:hAnsi="仿宋" w:eastAsia="仿宋" w:cs="仿宋"/>
                <w:bCs/>
                <w:color w:val="auto"/>
                <w:kern w:val="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9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（达到）省级以上实践基地</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0</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1</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9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p>
        </w:tc>
        <w:tc>
          <w:tcPr>
            <w:tcW w:w="4151"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000000"/>
                <w:kern w:val="0"/>
                <w:sz w:val="21"/>
                <w:szCs w:val="21"/>
              </w:rPr>
            </w:pPr>
            <w:r>
              <w:rPr>
                <w:rFonts w:hint="eastAsia" w:ascii="仿宋" w:hAnsi="仿宋" w:eastAsia="仿宋" w:cs="仿宋"/>
                <w:bCs/>
                <w:color w:val="000000"/>
                <w:kern w:val="0"/>
                <w:sz w:val="21"/>
                <w:szCs w:val="21"/>
              </w:rPr>
              <w:t>（新增）经费投入</w:t>
            </w:r>
          </w:p>
        </w:tc>
        <w:tc>
          <w:tcPr>
            <w:tcW w:w="109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400</w:t>
            </w:r>
          </w:p>
        </w:tc>
        <w:tc>
          <w:tcPr>
            <w:tcW w:w="1143"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460</w:t>
            </w:r>
          </w:p>
        </w:tc>
        <w:tc>
          <w:tcPr>
            <w:tcW w:w="125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仿宋" w:hAnsi="仿宋" w:eastAsia="仿宋" w:cs="仿宋"/>
                <w:bCs/>
                <w:color w:val="auto"/>
                <w:kern w:val="0"/>
                <w:sz w:val="21"/>
                <w:szCs w:val="21"/>
              </w:rPr>
            </w:pPr>
            <w:r>
              <w:rPr>
                <w:rFonts w:hint="eastAsia" w:ascii="仿宋" w:hAnsi="仿宋" w:eastAsia="仿宋" w:cs="仿宋"/>
                <w:bCs/>
                <w:color w:val="auto"/>
                <w:kern w:val="0"/>
                <w:sz w:val="21"/>
                <w:szCs w:val="21"/>
              </w:rPr>
              <w:t>580</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jc w:val="both"/>
        <w:textAlignment w:val="center"/>
        <w:outlineLvl w:val="0"/>
        <w:rPr>
          <w:rFonts w:hint="eastAsia" w:ascii="黑体" w:hAnsi="黑体" w:eastAsia="黑体" w:cs="黑体"/>
          <w:b w:val="0"/>
          <w:bCs w:val="0"/>
          <w:sz w:val="32"/>
          <w:szCs w:val="32"/>
        </w:rPr>
      </w:pPr>
      <w:r>
        <w:rPr>
          <w:rFonts w:hint="eastAsia" w:ascii="黑体" w:hAnsi="黑体" w:eastAsia="黑体" w:cs="黑体"/>
          <w:b w:val="0"/>
          <w:bCs w:val="0"/>
          <w:sz w:val="32"/>
          <w:szCs w:val="32"/>
        </w:rPr>
        <w:t>三、重点建设任务</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center"/>
        <w:rPr>
          <w:rFonts w:hint="eastAsia" w:ascii="楷体_GB2312" w:hAnsi="楷体_GB2312" w:eastAsia="楷体_GB2312" w:cs="楷体_GB2312"/>
          <w:b/>
          <w:bCs/>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t>（一）加强师资队伍建设，打造高水平创新团队</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jc w:val="both"/>
        <w:textAlignment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“十四五”</w:t>
      </w:r>
      <w:r>
        <w:rPr>
          <w:rFonts w:hint="eastAsia" w:ascii="仿宋_GB2312" w:hAnsi="仿宋_GB2312" w:eastAsia="仿宋_GB2312" w:cs="仿宋_GB2312"/>
          <w:sz w:val="32"/>
          <w:szCs w:val="32"/>
          <w:lang w:eastAsia="zh-CN"/>
        </w:rPr>
        <w:t>期间</w:t>
      </w:r>
      <w:r>
        <w:rPr>
          <w:rFonts w:hint="eastAsia" w:ascii="仿宋_GB2312" w:hAnsi="仿宋_GB2312" w:eastAsia="仿宋_GB2312" w:cs="仿宋_GB2312"/>
          <w:sz w:val="32"/>
          <w:szCs w:val="32"/>
        </w:rPr>
        <w:t>，通过内培和外引的方式，增加教授和年轻博士的数量。人才引进总数</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人</w:t>
      </w:r>
      <w:r>
        <w:rPr>
          <w:rFonts w:hint="eastAsia" w:ascii="仿宋_GB2312" w:hAnsi="仿宋_GB2312" w:eastAsia="仿宋_GB2312" w:cs="仿宋_GB2312"/>
          <w:sz w:val="32"/>
          <w:szCs w:val="32"/>
          <w:lang w:val="en-US" w:eastAsia="zh-CN"/>
        </w:rPr>
        <w:t>左右</w:t>
      </w:r>
      <w:r>
        <w:rPr>
          <w:rFonts w:hint="eastAsia" w:ascii="仿宋_GB2312" w:hAnsi="仿宋_GB2312" w:eastAsia="仿宋_GB2312" w:cs="仿宋_GB2312"/>
          <w:sz w:val="32"/>
          <w:szCs w:val="32"/>
        </w:rPr>
        <w:t>，其中高层次学科带头人</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人，优秀博士</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人</w:t>
      </w:r>
      <w:r>
        <w:rPr>
          <w:rFonts w:hint="eastAsia" w:ascii="仿宋_GB2312" w:hAnsi="仿宋_GB2312" w:eastAsia="仿宋_GB2312" w:cs="仿宋_GB2312"/>
          <w:sz w:val="32"/>
          <w:szCs w:val="32"/>
          <w:lang w:val="en-US" w:eastAsia="zh-CN"/>
        </w:rPr>
        <w:t>左右</w:t>
      </w:r>
      <w:r>
        <w:rPr>
          <w:rFonts w:hint="eastAsia" w:ascii="仿宋_GB2312" w:hAnsi="仿宋_GB2312" w:eastAsia="仿宋_GB2312" w:cs="仿宋_GB2312"/>
          <w:sz w:val="32"/>
          <w:szCs w:val="32"/>
        </w:rPr>
        <w:t>；青年骨干教师选拔2-3人，赴名校访问学者2-3人，在职攻读博士3-5人。</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jc w:val="both"/>
        <w:textAlignment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强化师德师风建设，坚持内培外引相结合，加大高层次人才引进和培养力度，注重加强创新团队建设，培养领军人物、学术骨干、教学名师。围绕学科专业发展主攻方向，建设品牌课程团队、优秀教学团队、特色学科团队、一流专业团队，提升团队作战能力。建立以学科方向负责人为核心的学科团队、专业负责人为核心的专业团队、课程负责人为核心的教学团队。关注青年教师成长成才，实行“传帮带”的青年教师导师制，选送青年教师外出学习培训、挂职锻炼，帮助青年教师尽快提高教学水平和科研能力。完善教师目标管理实施细则，激发全院教师队伍活力，提高教师队伍积极性和创造力。</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center"/>
        <w:rPr>
          <w:rFonts w:hint="eastAsia" w:ascii="楷体_GB2312" w:hAnsi="楷体_GB2312" w:eastAsia="楷体_GB2312" w:cs="楷体_GB2312"/>
          <w:b/>
          <w:bCs/>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t>（二）加强学院内涵建设，提高人才培养质量</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jc w:val="both"/>
        <w:textAlignment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紧紧围绕立德树人根本任务，创新人才培养模式，加强学院内涵建设，全面提高本科人才培养质量。“十四五”期间，拟新增专业1个，在校学生规模达到</w:t>
      </w: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00人左右（含预科生）。力争获省级以上优秀教学成果奖</w:t>
      </w:r>
      <w:r>
        <w:rPr>
          <w:rFonts w:hint="eastAsia" w:ascii="仿宋_GB2312" w:hAnsi="仿宋_GB2312" w:eastAsia="仿宋_GB2312" w:cs="仿宋_GB2312"/>
          <w:sz w:val="32"/>
          <w:szCs w:val="32"/>
          <w:lang w:val="en-US" w:eastAsia="zh-CN"/>
        </w:rPr>
        <w:t>1-2项，</w:t>
      </w:r>
      <w:r>
        <w:rPr>
          <w:rFonts w:hint="eastAsia" w:ascii="仿宋_GB2312" w:hAnsi="仿宋_GB2312" w:eastAsia="仿宋_GB2312" w:cs="仿宋_GB2312"/>
          <w:sz w:val="32"/>
          <w:szCs w:val="32"/>
        </w:rPr>
        <w:t>省级教学比赛</w:t>
      </w:r>
      <w:r>
        <w:rPr>
          <w:rFonts w:hint="eastAsia" w:ascii="仿宋_GB2312" w:hAnsi="仿宋_GB2312" w:eastAsia="仿宋_GB2312" w:cs="仿宋_GB2312"/>
          <w:sz w:val="32"/>
          <w:szCs w:val="32"/>
          <w:lang w:eastAsia="zh-CN"/>
        </w:rPr>
        <w:t>获</w:t>
      </w:r>
      <w:r>
        <w:rPr>
          <w:rFonts w:hint="eastAsia" w:ascii="仿宋_GB2312" w:hAnsi="仿宋_GB2312" w:eastAsia="仿宋_GB2312" w:cs="仿宋_GB2312"/>
          <w:sz w:val="32"/>
          <w:szCs w:val="32"/>
        </w:rPr>
        <w:t>二、三等奖</w:t>
      </w:r>
      <w:r>
        <w:rPr>
          <w:rFonts w:hint="eastAsia" w:ascii="仿宋_GB2312" w:hAnsi="仿宋_GB2312" w:eastAsia="仿宋_GB2312" w:cs="仿宋_GB2312"/>
          <w:sz w:val="32"/>
          <w:szCs w:val="32"/>
          <w:lang w:val="en-US" w:eastAsia="zh-CN"/>
        </w:rPr>
        <w:t>2-3项</w:t>
      </w:r>
      <w:r>
        <w:rPr>
          <w:rFonts w:hint="eastAsia" w:ascii="仿宋_GB2312" w:hAnsi="仿宋_GB2312" w:eastAsia="仿宋_GB2312" w:cs="仿宋_GB2312"/>
          <w:sz w:val="32"/>
          <w:szCs w:val="32"/>
        </w:rPr>
        <w:t>。发展研究生教育，与湘潭大学、湖南科技大学等联合培养研究生每年达5-10人。</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jc w:val="both"/>
        <w:textAlignment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优化学院专业结构，着力推进一流专业建设，力争汉语言文学为国家级一流本科专业，秘书学、法学为省级一流本科专业。大力推进专业认证工作，完成汉语言文学师范类专业二级认证。加强新文科建设，打造文科“金专”，推进应用型人才培养模式改革，积极探索产学研合作育人新模式。加强一流课程建设，建构2-4个课程（群）教学团队，积极开展线上线下教学改革，系统推进课堂教学革命。积极挖掘各类课程育人元素，全面推进课程思政建设。完善学院课堂教学评价体系，突出教育教学实绩和学生学习效果，构建</w:t>
      </w:r>
      <w:bookmarkStart w:id="1" w:name="_Hlk67650298"/>
      <w:r>
        <w:rPr>
          <w:rFonts w:hint="eastAsia" w:ascii="仿宋_GB2312" w:hAnsi="仿宋_GB2312" w:eastAsia="仿宋_GB2312" w:cs="仿宋_GB2312"/>
          <w:sz w:val="32"/>
          <w:szCs w:val="32"/>
        </w:rPr>
        <w:t>“五育”并举</w:t>
      </w:r>
      <w:r>
        <w:rPr>
          <w:rFonts w:hint="eastAsia" w:ascii="仿宋_GB2312" w:hAnsi="仿宋_GB2312" w:eastAsia="仿宋_GB2312" w:cs="仿宋_GB2312"/>
          <w:sz w:val="32"/>
          <w:szCs w:val="32"/>
          <w:lang w:val="en-US" w:eastAsia="zh-CN"/>
        </w:rPr>
        <w:t>的</w:t>
      </w:r>
      <w:r>
        <w:rPr>
          <w:rFonts w:hint="eastAsia" w:ascii="仿宋_GB2312" w:hAnsi="仿宋_GB2312" w:eastAsia="仿宋_GB2312" w:cs="仿宋_GB2312"/>
          <w:sz w:val="32"/>
          <w:szCs w:val="32"/>
        </w:rPr>
        <w:t>学生综合素质</w:t>
      </w:r>
      <w:bookmarkEnd w:id="1"/>
      <w:r>
        <w:rPr>
          <w:rFonts w:hint="eastAsia" w:ascii="仿宋_GB2312" w:hAnsi="仿宋_GB2312" w:eastAsia="仿宋_GB2312" w:cs="仿宋_GB2312"/>
          <w:sz w:val="32"/>
          <w:szCs w:val="32"/>
        </w:rPr>
        <w:t>评价体系。构建以学院为主体的多元化教学质量监控体系。</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center"/>
        <w:rPr>
          <w:rFonts w:hint="default" w:ascii="楷体_GB2312" w:hAnsi="楷体_GB2312" w:eastAsia="楷体_GB2312" w:cs="楷体_GB2312"/>
          <w:b/>
          <w:bCs/>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t>（三）狠抓学科科研工作，打造高质量学术成果</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jc w:val="both"/>
        <w:textAlignment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进一步凝练学科方向，加强学科建设，为申报中国语言文学一级学科硕士点做好充分的准备。确保“中国语言文学学科”继续获得“十四五”湖南省应用特色学科支持，力争将法学学科立项为校级应用特色学科。</w:t>
      </w:r>
      <w:r>
        <w:rPr>
          <w:rFonts w:hint="eastAsia" w:ascii="仿宋_GB2312" w:hAnsi="仿宋_GB2312" w:eastAsia="仿宋_GB2312" w:cs="仿宋_GB2312"/>
          <w:sz w:val="32"/>
          <w:szCs w:val="32"/>
          <w:lang w:val="en-US" w:eastAsia="zh-CN"/>
        </w:rPr>
        <w:t>积极争取各类科研经费，满足申硕工作需要</w:t>
      </w:r>
      <w:r>
        <w:rPr>
          <w:rFonts w:hint="eastAsia" w:ascii="仿宋_GB2312" w:hAnsi="仿宋_GB2312" w:eastAsia="仿宋_GB2312" w:cs="仿宋_GB2312"/>
          <w:sz w:val="32"/>
          <w:szCs w:val="32"/>
        </w:rPr>
        <w:t>。力争实现国家级课题</w:t>
      </w:r>
      <w:r>
        <w:rPr>
          <w:rFonts w:hint="eastAsia" w:ascii="仿宋_GB2312" w:hAnsi="仿宋_GB2312" w:eastAsia="仿宋_GB2312" w:cs="仿宋_GB2312"/>
          <w:sz w:val="32"/>
          <w:szCs w:val="32"/>
          <w:lang w:val="en-US" w:eastAsia="zh-CN"/>
        </w:rPr>
        <w:t>立项数</w:t>
      </w:r>
      <w:r>
        <w:rPr>
          <w:rFonts w:hint="eastAsia" w:ascii="仿宋_GB2312" w:hAnsi="仿宋_GB2312" w:eastAsia="仿宋_GB2312" w:cs="仿宋_GB2312"/>
          <w:sz w:val="32"/>
          <w:szCs w:val="32"/>
        </w:rPr>
        <w:t>、省部级科研平台和科研成果奖励的</w:t>
      </w:r>
      <w:r>
        <w:rPr>
          <w:rFonts w:hint="eastAsia" w:ascii="仿宋_GB2312" w:hAnsi="仿宋_GB2312" w:eastAsia="仿宋_GB2312" w:cs="仿宋_GB2312"/>
          <w:sz w:val="32"/>
          <w:szCs w:val="32"/>
          <w:lang w:val="en-US" w:eastAsia="zh-CN"/>
        </w:rPr>
        <w:t>新</w:t>
      </w:r>
      <w:r>
        <w:rPr>
          <w:rFonts w:hint="eastAsia" w:ascii="仿宋_GB2312" w:hAnsi="仿宋_GB2312" w:eastAsia="仿宋_GB2312" w:cs="仿宋_GB2312"/>
          <w:sz w:val="32"/>
          <w:szCs w:val="32"/>
        </w:rPr>
        <w:t>突破。</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jc w:val="both"/>
        <w:textAlignment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以人才队伍建设为抓手，加大人才引进力度，提高师资队伍整体实力，提升学院科学研究水平。继续做好舜文化省级研究基地、南岭走廊与潇湘文化研究基地运行管理，鼓励平台成员围绕专题开展科学研究，出版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南岭走廊与潇湘文化文化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系列学术丛书，扩大在国内外的学术影响。</w:t>
      </w:r>
    </w:p>
    <w:p>
      <w:pPr>
        <w:pStyle w:val="2"/>
        <w:keepNext w:val="0"/>
        <w:keepLines w:val="0"/>
        <w:pageBreakBefore w:val="0"/>
        <w:kinsoku/>
        <w:wordWrap/>
        <w:overflowPunct/>
        <w:topLinePunct w:val="0"/>
        <w:bidi w:val="0"/>
        <w:spacing w:line="360" w:lineRule="auto"/>
        <w:ind w:left="567"/>
        <w:textAlignment w:val="auto"/>
        <w:rPr>
          <w:rFonts w:hint="eastAsia" w:ascii="楷体_GB2312" w:hAnsi="楷体_GB2312" w:eastAsia="楷体_GB2312" w:cs="楷体_GB2312"/>
          <w:b/>
          <w:bCs/>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t>（四）深化产学研合作，提升服务地方能力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加强与地方企事业单位对接，挖掘自身潜力和人才优势，积极培育对接服务地方项目。继续做好少数民族预科学生培养管理工作，为民族地区的发展提供人才支持。继续做好汉语言文学专业公费师范生的招生、培养工作，夯实专业基础，强化师范专业实践能力训练，为永州市基础教育培养语文骨干教师。</w:t>
      </w:r>
      <w:r>
        <w:rPr>
          <w:rFonts w:hint="eastAsia" w:ascii="仿宋_GB2312" w:hAnsi="仿宋_GB2312" w:eastAsia="仿宋_GB2312" w:cs="仿宋_GB2312"/>
          <w:sz w:val="32"/>
          <w:szCs w:val="32"/>
        </w:rPr>
        <w:t>加大地方文化挖掘与研究力度，结合当前永州社会经济发展，积极开展舜文化、柳文化、瑶文化、碑刻文化、女书文化、地方方言等领域的研究，推动潇水流域文化资源保护及文化资源档案建设，为地方文化资源建设、文化创意产业、城市规划提供智力支持。与地方司法机构合作，师生共同办理法律援助案件，为弱势群体提供法律援助，为地方政府及各单位提供法律咨询。</w:t>
      </w:r>
    </w:p>
    <w:p>
      <w:pPr>
        <w:pStyle w:val="2"/>
        <w:keepNext w:val="0"/>
        <w:keepLines w:val="0"/>
        <w:pageBreakBefore w:val="0"/>
        <w:widowControl w:val="0"/>
        <w:kinsoku/>
        <w:wordWrap/>
        <w:overflowPunct/>
        <w:topLinePunct w:val="0"/>
        <w:bidi w:val="0"/>
        <w:spacing w:line="560" w:lineRule="exact"/>
        <w:ind w:left="567"/>
        <w:textAlignment w:val="auto"/>
        <w:rPr>
          <w:rFonts w:hint="eastAsia" w:ascii="楷体_GB2312" w:hAnsi="楷体_GB2312" w:eastAsia="楷体_GB2312" w:cs="楷体_GB2312"/>
          <w:b/>
          <w:bCs/>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t>（五）加强党建思政工作，完善学院内部管理</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center"/>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坚持全面从严治党，突出政治建设，不断夯实学院党建基础，提升党建质量，提升学院班子政治判断力、领悟力和执行力，确保学校党委、行政各项决策和学院重点工作落到实处，以高质量党建引领学院事业发展，提升学院党建工作水平和办学治院能力。加强学院班子建设，增强责任担当，着力提升班子科学谋划能力、办学治院能力和工作执行能力。扎实推进党支部“五化”提质工程，严肃党内组织生活，确保“两个作用”得到较好发挥。</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center"/>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加强思想政治工作，坚持立德树人根本任务，深入推进“三全育人”工作，增强育人工作实效，提高人才培养质量。加强意识形态建设，落实意识形态工作责任制，加强文化阵地建设和网络空间监管。加强师德师风建设，强化教师思想政治素质考察，推动师德师风建设常态化、长效化。加强辅导员、班主任和学生干部队伍建设，着力提升学生工作水平，增强学生工作的针对性和实效性。深入推进党风廉政建设，深入开展谈心谈话，充分调动各方面积极性，营造风清气正的政治生态和干事创业的工作氛围。加强学院内部管理，提升学院治理能力，确保学院安全稳定。</w:t>
      </w:r>
    </w:p>
    <w:p>
      <w:pPr>
        <w:pStyle w:val="2"/>
        <w:keepNext w:val="0"/>
        <w:keepLines w:val="0"/>
        <w:pageBreakBefore w:val="0"/>
        <w:widowControl w:val="0"/>
        <w:kinsoku/>
        <w:wordWrap/>
        <w:overflowPunct/>
        <w:topLinePunct w:val="0"/>
        <w:bidi w:val="0"/>
        <w:spacing w:line="560" w:lineRule="exact"/>
        <w:ind w:left="567"/>
        <w:textAlignment w:val="auto"/>
        <w:rPr>
          <w:rFonts w:hint="eastAsia" w:ascii="楷体_GB2312" w:hAnsi="楷体_GB2312" w:eastAsia="楷体_GB2312" w:cs="楷体_GB2312"/>
          <w:b/>
          <w:bCs/>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t>（六）争取各种资源，改善学院办学条件</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center"/>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一是争取中央与地方共建实验室资金，改造文秘专业实训室，建设法律专业的模拟法庭。二是利用学科经费，采购教学科研所需的图书资料和仪器设备。三是</w:t>
      </w:r>
      <w:r>
        <w:rPr>
          <w:rFonts w:hint="eastAsia" w:ascii="仿宋_GB2312" w:hAnsi="仿宋_GB2312" w:eastAsia="仿宋_GB2312" w:cs="仿宋_GB2312"/>
          <w:sz w:val="32"/>
          <w:szCs w:val="32"/>
          <w:lang w:val="en-US" w:eastAsia="zh-CN"/>
        </w:rPr>
        <w:t>请求</w:t>
      </w:r>
      <w:r>
        <w:rPr>
          <w:rFonts w:hint="eastAsia" w:ascii="仿宋_GB2312" w:hAnsi="仿宋_GB2312" w:eastAsia="仿宋_GB2312" w:cs="仿宋_GB2312"/>
          <w:sz w:val="32"/>
          <w:szCs w:val="32"/>
          <w:lang w:val="en-US"/>
        </w:rPr>
        <w:t>学校支持，对明德楼</w:t>
      </w:r>
      <w:r>
        <w:rPr>
          <w:rFonts w:hint="eastAsia" w:ascii="仿宋_GB2312" w:hAnsi="仿宋_GB2312" w:eastAsia="仿宋_GB2312" w:cs="仿宋_GB2312"/>
          <w:sz w:val="32"/>
          <w:szCs w:val="32"/>
          <w:lang w:val="en-US" w:eastAsia="zh-CN"/>
        </w:rPr>
        <w:t>一二楼大厅进行改造，加强学院文化建设；建设师范生三笔字实训室1间，师范专业办学成果展览室1间。</w:t>
      </w:r>
    </w:p>
    <w:p>
      <w:pPr>
        <w:pStyle w:val="2"/>
        <w:keepNext w:val="0"/>
        <w:keepLines w:val="0"/>
        <w:pageBreakBefore w:val="0"/>
        <w:widowControl w:val="0"/>
        <w:kinsoku/>
        <w:wordWrap/>
        <w:overflowPunct/>
        <w:topLinePunct w:val="0"/>
        <w:bidi w:val="0"/>
        <w:spacing w:line="560" w:lineRule="exact"/>
        <w:ind w:left="567"/>
        <w:textAlignment w:val="auto"/>
        <w:rPr>
          <w:rFonts w:hint="eastAsia" w:ascii="楷体_GB2312" w:hAnsi="楷体_GB2312" w:eastAsia="楷体_GB2312" w:cs="楷体_GB2312"/>
          <w:b/>
          <w:bCs/>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t>（七）推进专业认证，深化教学改革</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center"/>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eastAsia="zh-CN"/>
        </w:rPr>
        <w:t>做好</w:t>
      </w:r>
      <w:r>
        <w:rPr>
          <w:rFonts w:hint="eastAsia" w:ascii="仿宋_GB2312" w:hAnsi="仿宋_GB2312" w:eastAsia="仿宋_GB2312" w:cs="仿宋_GB2312"/>
          <w:sz w:val="32"/>
          <w:szCs w:val="32"/>
          <w:lang w:val="en-US"/>
        </w:rPr>
        <w:t>汉语言文学师范专业认证工作，</w:t>
      </w:r>
      <w:r>
        <w:rPr>
          <w:rFonts w:hint="eastAsia" w:ascii="仿宋_GB2312" w:hAnsi="仿宋_GB2312" w:eastAsia="仿宋_GB2312" w:cs="仿宋_GB2312"/>
          <w:sz w:val="32"/>
          <w:szCs w:val="32"/>
          <w:lang w:val="en-US" w:eastAsia="zh-CN"/>
        </w:rPr>
        <w:t>做好</w:t>
      </w:r>
      <w:r>
        <w:rPr>
          <w:rFonts w:hint="eastAsia" w:ascii="仿宋_GB2312" w:hAnsi="仿宋_GB2312" w:eastAsia="仿宋_GB2312" w:cs="仿宋_GB2312"/>
          <w:sz w:val="32"/>
          <w:szCs w:val="32"/>
          <w:lang w:val="en-US"/>
        </w:rPr>
        <w:t>法学、秘书学</w:t>
      </w:r>
      <w:r>
        <w:rPr>
          <w:rFonts w:hint="eastAsia" w:ascii="仿宋_GB2312" w:hAnsi="仿宋_GB2312" w:eastAsia="仿宋_GB2312" w:cs="仿宋_GB2312"/>
          <w:sz w:val="32"/>
          <w:szCs w:val="32"/>
          <w:lang w:val="en-US" w:eastAsia="zh-CN"/>
        </w:rPr>
        <w:t>等专业</w:t>
      </w:r>
      <w:r>
        <w:rPr>
          <w:rFonts w:hint="eastAsia" w:ascii="仿宋_GB2312" w:hAnsi="仿宋_GB2312" w:eastAsia="仿宋_GB2312" w:cs="仿宋_GB2312"/>
          <w:sz w:val="32"/>
          <w:szCs w:val="32"/>
          <w:lang w:val="en-US"/>
        </w:rPr>
        <w:t>认证评估</w:t>
      </w:r>
      <w:r>
        <w:rPr>
          <w:rFonts w:hint="eastAsia" w:ascii="仿宋_GB2312" w:hAnsi="仿宋_GB2312" w:eastAsia="仿宋_GB2312" w:cs="仿宋_GB2312"/>
          <w:sz w:val="32"/>
          <w:szCs w:val="32"/>
          <w:lang w:val="en-US" w:eastAsia="zh-CN"/>
        </w:rPr>
        <w:t>的准备工作</w:t>
      </w:r>
      <w:r>
        <w:rPr>
          <w:rFonts w:hint="eastAsia" w:ascii="仿宋_GB2312" w:hAnsi="仿宋_GB2312" w:eastAsia="仿宋_GB2312" w:cs="仿宋_GB2312"/>
          <w:sz w:val="32"/>
          <w:szCs w:val="32"/>
          <w:lang w:val="en-US"/>
        </w:rPr>
        <w:t>。以专业认证为契机，全面梳理人才培养方案，与社会用人单位协同，构建“三位一体”的合作育人模式。</w:t>
      </w:r>
      <w:r>
        <w:rPr>
          <w:rFonts w:hint="eastAsia" w:ascii="仿宋_GB2312" w:hAnsi="仿宋_GB2312" w:eastAsia="仿宋_GB2312" w:cs="仿宋_GB2312"/>
          <w:sz w:val="32"/>
          <w:szCs w:val="32"/>
          <w:lang w:val="en-US" w:eastAsia="zh-CN"/>
        </w:rPr>
        <w:t>全面</w:t>
      </w:r>
      <w:r>
        <w:rPr>
          <w:rFonts w:hint="eastAsia" w:ascii="仿宋_GB2312" w:hAnsi="仿宋_GB2312" w:eastAsia="仿宋_GB2312" w:cs="仿宋_GB2312"/>
          <w:sz w:val="32"/>
          <w:szCs w:val="32"/>
          <w:lang w:val="en-US"/>
        </w:rPr>
        <w:t>推动人才培养模式、课堂教学手段与方法的改革，培养既有深厚的理论知识，又有较强实践技能的应用型人才。</w:t>
      </w:r>
    </w:p>
    <w:p>
      <w:pPr>
        <w:pStyle w:val="2"/>
        <w:keepNext w:val="0"/>
        <w:keepLines w:val="0"/>
        <w:pageBreakBefore w:val="0"/>
        <w:widowControl w:val="0"/>
        <w:kinsoku/>
        <w:wordWrap/>
        <w:overflowPunct/>
        <w:topLinePunct w:val="0"/>
        <w:bidi w:val="0"/>
        <w:spacing w:line="560" w:lineRule="exact"/>
        <w:ind w:left="567"/>
        <w:textAlignment w:val="auto"/>
        <w:rPr>
          <w:rFonts w:hint="eastAsia" w:ascii="楷体_GB2312" w:hAnsi="楷体_GB2312" w:eastAsia="楷体_GB2312" w:cs="楷体_GB2312"/>
          <w:b/>
          <w:bCs/>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t>（八）扩大国际交流，创造条件开展合作办学</w:t>
      </w:r>
    </w:p>
    <w:p>
      <w:pPr>
        <w:pStyle w:val="2"/>
        <w:keepNext w:val="0"/>
        <w:keepLines w:val="0"/>
        <w:pageBreakBefore w:val="0"/>
        <w:widowControl w:val="0"/>
        <w:kinsoku/>
        <w:wordWrap/>
        <w:overflowPunct/>
        <w:topLinePunct w:val="0"/>
        <w:bidi w:val="0"/>
        <w:spacing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一是利用教育国际化的机遇，争取学校的政策支持，招收一定数量的外国留学生；条件允许时可以与国外其他高校联合办学，招收、培养各类层次的学生。二是鼓励学生参与国际生互换项目，与国外高校学分互换；鼓励教师出国访学交流，扩大国际视野。</w:t>
      </w:r>
      <w:bookmarkStart w:id="2" w:name="_GoBack"/>
      <w:bookmarkEnd w:id="2"/>
    </w:p>
    <w:sectPr>
      <w:pgSz w:w="11906" w:h="16838"/>
      <w:pgMar w:top="1474" w:right="1701" w:bottom="147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8CC10C7-8234-4D59-AE0C-6FB819F2CFB0}"/>
  </w:font>
  <w:font w:name="Arial">
    <w:panose1 w:val="020B0604020202020204"/>
    <w:charset w:val="01"/>
    <w:family w:val="swiss"/>
    <w:pitch w:val="default"/>
    <w:sig w:usb0="E0002AFF" w:usb1="C0007843" w:usb2="00000009" w:usb3="00000000" w:csb0="400001FF" w:csb1="FFFF0000"/>
    <w:embedRegular r:id="rId2" w:fontKey="{2C472E85-1A58-46BA-808D-0C499FB9DF04}"/>
  </w:font>
  <w:font w:name="黑体">
    <w:panose1 w:val="02010609060101010101"/>
    <w:charset w:val="86"/>
    <w:family w:val="auto"/>
    <w:pitch w:val="default"/>
    <w:sig w:usb0="800002BF" w:usb1="38CF7CFA" w:usb2="00000016" w:usb3="00000000" w:csb0="00040001" w:csb1="00000000"/>
    <w:embedRegular r:id="rId3" w:fontKey="{8B84855A-3055-4A8C-BF9B-7E419C50E6B9}"/>
  </w:font>
  <w:font w:name="Courier New">
    <w:panose1 w:val="02070309020205020404"/>
    <w:charset w:val="01"/>
    <w:family w:val="modern"/>
    <w:pitch w:val="default"/>
    <w:sig w:usb0="E0002AFF" w:usb1="C0007843" w:usb2="00000009" w:usb3="00000000" w:csb0="400001FF" w:csb1="FFFF0000"/>
    <w:embedRegular r:id="rId4" w:fontKey="{4B9605C3-1897-46D4-B8D6-AC17CA6C4FC7}"/>
  </w:font>
  <w:font w:name="Symbol">
    <w:panose1 w:val="05050102010706020507"/>
    <w:charset w:val="02"/>
    <w:family w:val="roman"/>
    <w:pitch w:val="default"/>
    <w:sig w:usb0="00000000" w:usb1="00000000" w:usb2="00000000" w:usb3="00000000" w:csb0="80000000" w:csb1="00000000"/>
    <w:embedRegular r:id="rId5" w:fontKey="{6C2F9D92-4E56-44B7-BDF3-6FF38F2006BD}"/>
  </w:font>
  <w:font w:name="Calibri">
    <w:panose1 w:val="020F0502020204030204"/>
    <w:charset w:val="00"/>
    <w:family w:val="swiss"/>
    <w:pitch w:val="default"/>
    <w:sig w:usb0="E00002FF" w:usb1="4000ACFF" w:usb2="00000001" w:usb3="00000000" w:csb0="2000019F" w:csb1="00000000"/>
    <w:embedRegular r:id="rId6" w:fontKey="{5BA273E7-EAD7-41A7-98AC-B4B3826429AA}"/>
  </w:font>
  <w:font w:name="仿宋">
    <w:panose1 w:val="02010609060101010101"/>
    <w:charset w:val="86"/>
    <w:family w:val="modern"/>
    <w:pitch w:val="default"/>
    <w:sig w:usb0="800002BF" w:usb1="38CF7CFA" w:usb2="00000016" w:usb3="00000000" w:csb0="00040001" w:csb1="00000000"/>
    <w:embedRegular r:id="rId7" w:fontKey="{9C33DA15-EECC-401B-AAC1-9CFC87FDB408}"/>
  </w:font>
  <w:font w:name="方正小标宋简体">
    <w:panose1 w:val="02010601030101010101"/>
    <w:charset w:val="86"/>
    <w:family w:val="auto"/>
    <w:pitch w:val="default"/>
    <w:sig w:usb0="00000001" w:usb1="080E0000" w:usb2="00000000" w:usb3="00000000" w:csb0="00040000" w:csb1="00000000"/>
    <w:embedRegular r:id="rId8" w:fontKey="{895A1B6E-91AF-4B4D-82B8-0E46CA772022}"/>
  </w:font>
  <w:font w:name="仿宋_GB2312">
    <w:panose1 w:val="02010609030101010101"/>
    <w:charset w:val="86"/>
    <w:family w:val="auto"/>
    <w:pitch w:val="default"/>
    <w:sig w:usb0="00000001" w:usb1="080E0000" w:usb2="00000000" w:usb3="00000000" w:csb0="00040000" w:csb1="00000000"/>
    <w:embedRegular r:id="rId9" w:fontKey="{F62A2C47-0FA9-4BCE-B081-4E252A9638DE}"/>
  </w:font>
  <w:font w:name="楷体_GB2312">
    <w:panose1 w:val="02010609030101010101"/>
    <w:charset w:val="86"/>
    <w:family w:val="auto"/>
    <w:pitch w:val="default"/>
    <w:sig w:usb0="00000001" w:usb1="080E0000" w:usb2="00000000" w:usb3="00000000" w:csb0="00040000" w:csb1="00000000"/>
    <w:embedRegular r:id="rId10" w:fontKey="{1A4CAB7E-4851-4B8F-BE0A-1DB72EDF4B1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29823668"/>
    <w:rsid w:val="00020237"/>
    <w:rsid w:val="00062378"/>
    <w:rsid w:val="000922A5"/>
    <w:rsid w:val="00097638"/>
    <w:rsid w:val="000D1CB1"/>
    <w:rsid w:val="000D3D2B"/>
    <w:rsid w:val="000F0906"/>
    <w:rsid w:val="00106F37"/>
    <w:rsid w:val="001328BC"/>
    <w:rsid w:val="00162861"/>
    <w:rsid w:val="00166835"/>
    <w:rsid w:val="00181807"/>
    <w:rsid w:val="001B0EB6"/>
    <w:rsid w:val="0020722E"/>
    <w:rsid w:val="00215FC5"/>
    <w:rsid w:val="00235A9A"/>
    <w:rsid w:val="002566A8"/>
    <w:rsid w:val="0028244A"/>
    <w:rsid w:val="002B4BEF"/>
    <w:rsid w:val="002C22FB"/>
    <w:rsid w:val="002E67C4"/>
    <w:rsid w:val="002F25FC"/>
    <w:rsid w:val="00312534"/>
    <w:rsid w:val="003164D7"/>
    <w:rsid w:val="00336FB5"/>
    <w:rsid w:val="003A2416"/>
    <w:rsid w:val="00405125"/>
    <w:rsid w:val="004B266D"/>
    <w:rsid w:val="004B7835"/>
    <w:rsid w:val="004D3B67"/>
    <w:rsid w:val="004D6DB7"/>
    <w:rsid w:val="005039F8"/>
    <w:rsid w:val="0051524F"/>
    <w:rsid w:val="00575207"/>
    <w:rsid w:val="005809D4"/>
    <w:rsid w:val="0059423F"/>
    <w:rsid w:val="005A30FD"/>
    <w:rsid w:val="005B4B06"/>
    <w:rsid w:val="005D42CE"/>
    <w:rsid w:val="005F09B8"/>
    <w:rsid w:val="0066499B"/>
    <w:rsid w:val="00670D8E"/>
    <w:rsid w:val="00687CA6"/>
    <w:rsid w:val="0069516F"/>
    <w:rsid w:val="0069684C"/>
    <w:rsid w:val="006C2DE6"/>
    <w:rsid w:val="006C2EAC"/>
    <w:rsid w:val="00722228"/>
    <w:rsid w:val="00727D69"/>
    <w:rsid w:val="007547B7"/>
    <w:rsid w:val="007767F3"/>
    <w:rsid w:val="008214A8"/>
    <w:rsid w:val="00822EF5"/>
    <w:rsid w:val="008373B4"/>
    <w:rsid w:val="0084289B"/>
    <w:rsid w:val="00870895"/>
    <w:rsid w:val="008C6C67"/>
    <w:rsid w:val="00912EE9"/>
    <w:rsid w:val="00984652"/>
    <w:rsid w:val="009F5B0D"/>
    <w:rsid w:val="00AA7F86"/>
    <w:rsid w:val="00AE6AFD"/>
    <w:rsid w:val="00AF4927"/>
    <w:rsid w:val="00B64D31"/>
    <w:rsid w:val="00B95CC9"/>
    <w:rsid w:val="00C44210"/>
    <w:rsid w:val="00C94115"/>
    <w:rsid w:val="00CE2E78"/>
    <w:rsid w:val="00CF0A46"/>
    <w:rsid w:val="00D31511"/>
    <w:rsid w:val="00D42B9B"/>
    <w:rsid w:val="00D841D0"/>
    <w:rsid w:val="00D858ED"/>
    <w:rsid w:val="00DC25AD"/>
    <w:rsid w:val="00E114EB"/>
    <w:rsid w:val="00E13783"/>
    <w:rsid w:val="00E32A21"/>
    <w:rsid w:val="00E36798"/>
    <w:rsid w:val="00E768D5"/>
    <w:rsid w:val="00EE0E44"/>
    <w:rsid w:val="00EF4508"/>
    <w:rsid w:val="00F8095B"/>
    <w:rsid w:val="00F81DAA"/>
    <w:rsid w:val="00FE573B"/>
    <w:rsid w:val="07F45269"/>
    <w:rsid w:val="08794AF8"/>
    <w:rsid w:val="0D5E66DF"/>
    <w:rsid w:val="0DA45DAB"/>
    <w:rsid w:val="12670B50"/>
    <w:rsid w:val="14E24DDC"/>
    <w:rsid w:val="19F37C12"/>
    <w:rsid w:val="20476B05"/>
    <w:rsid w:val="22DD2040"/>
    <w:rsid w:val="2423396C"/>
    <w:rsid w:val="29823668"/>
    <w:rsid w:val="2D4273FD"/>
    <w:rsid w:val="317E1466"/>
    <w:rsid w:val="31F807B9"/>
    <w:rsid w:val="339B4DA0"/>
    <w:rsid w:val="359710FA"/>
    <w:rsid w:val="3D6E3551"/>
    <w:rsid w:val="3E0B23E7"/>
    <w:rsid w:val="3F0B4ACF"/>
    <w:rsid w:val="3FA55072"/>
    <w:rsid w:val="40657107"/>
    <w:rsid w:val="42107B87"/>
    <w:rsid w:val="43240FC5"/>
    <w:rsid w:val="43526535"/>
    <w:rsid w:val="464A38D6"/>
    <w:rsid w:val="47C4406D"/>
    <w:rsid w:val="49CD4B46"/>
    <w:rsid w:val="4E636E40"/>
    <w:rsid w:val="4EDB7FEE"/>
    <w:rsid w:val="5AEE2A16"/>
    <w:rsid w:val="5CCF5023"/>
    <w:rsid w:val="65DE7724"/>
    <w:rsid w:val="6C6C4908"/>
    <w:rsid w:val="6E7C7CC4"/>
    <w:rsid w:val="75255274"/>
    <w:rsid w:val="76687341"/>
    <w:rsid w:val="77611A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8"/>
    <w:qFormat/>
    <w:uiPriority w:val="1"/>
    <w:pPr>
      <w:autoSpaceDE w:val="0"/>
      <w:autoSpaceDN w:val="0"/>
      <w:jc w:val="left"/>
    </w:pPr>
    <w:rPr>
      <w:rFonts w:ascii="宋体" w:hAnsi="宋体" w:eastAsia="宋体" w:cs="宋体"/>
      <w:kern w:val="0"/>
      <w:sz w:val="32"/>
      <w:szCs w:val="32"/>
      <w:lang w:val="zh-CN" w:bidi="zh-CN"/>
    </w:rPr>
  </w:style>
  <w:style w:type="paragraph" w:styleId="5">
    <w:name w:val="Balloon Text"/>
    <w:basedOn w:val="1"/>
    <w:link w:val="19"/>
    <w:qFormat/>
    <w:uiPriority w:val="0"/>
    <w:rPr>
      <w:sz w:val="18"/>
      <w:szCs w:val="18"/>
    </w:rPr>
  </w:style>
  <w:style w:type="paragraph" w:styleId="6">
    <w:name w:val="footer"/>
    <w:basedOn w:val="1"/>
    <w:link w:val="16"/>
    <w:qFormat/>
    <w:uiPriority w:val="99"/>
    <w:pPr>
      <w:tabs>
        <w:tab w:val="center" w:pos="4153"/>
        <w:tab w:val="right" w:pos="8306"/>
      </w:tabs>
      <w:snapToGrid w:val="0"/>
      <w:jc w:val="left"/>
    </w:pPr>
    <w:rPr>
      <w:sz w:val="18"/>
      <w:szCs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spacing w:beforeAutospacing="1" w:afterAutospacing="1"/>
      <w:jc w:val="left"/>
    </w:pPr>
    <w:rPr>
      <w:rFonts w:cs="Times New Roman"/>
      <w:kern w:val="0"/>
      <w:sz w:val="24"/>
    </w:rPr>
  </w:style>
  <w:style w:type="table" w:styleId="10">
    <w:name w:val="Table Grid"/>
    <w:basedOn w:val="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Emphasis"/>
    <w:basedOn w:val="11"/>
    <w:qFormat/>
    <w:uiPriority w:val="20"/>
    <w:rPr>
      <w:color w:val="F73131"/>
    </w:rPr>
  </w:style>
  <w:style w:type="character" w:styleId="13">
    <w:name w:val="Hyperlink"/>
    <w:basedOn w:val="11"/>
    <w:qFormat/>
    <w:uiPriority w:val="0"/>
    <w:rPr>
      <w:color w:val="0000FF"/>
      <w:u w:val="single"/>
    </w:rPr>
  </w:style>
  <w:style w:type="paragraph" w:customStyle="1" w:styleId="14">
    <w:name w:val="自评报告正文"/>
    <w:basedOn w:val="8"/>
    <w:qFormat/>
    <w:uiPriority w:val="99"/>
    <w:pPr>
      <w:widowControl/>
      <w:spacing w:before="100" w:after="100" w:line="360" w:lineRule="auto"/>
      <w:ind w:firstLine="643" w:firstLineChars="200"/>
    </w:pPr>
    <w:rPr>
      <w:rFonts w:ascii="Calibri" w:hAnsi="Calibri" w:eastAsia="仿宋"/>
      <w:sz w:val="28"/>
      <w:szCs w:val="20"/>
    </w:rPr>
  </w:style>
  <w:style w:type="character" w:customStyle="1" w:styleId="15">
    <w:name w:val="页眉 Char"/>
    <w:basedOn w:val="11"/>
    <w:link w:val="7"/>
    <w:qFormat/>
    <w:uiPriority w:val="0"/>
    <w:rPr>
      <w:rFonts w:asciiTheme="minorHAnsi" w:hAnsiTheme="minorHAnsi" w:eastAsiaTheme="minorEastAsia" w:cstheme="minorBidi"/>
      <w:kern w:val="2"/>
      <w:sz w:val="18"/>
      <w:szCs w:val="18"/>
    </w:rPr>
  </w:style>
  <w:style w:type="character" w:customStyle="1" w:styleId="16">
    <w:name w:val="页脚 Char"/>
    <w:basedOn w:val="11"/>
    <w:link w:val="6"/>
    <w:qFormat/>
    <w:uiPriority w:val="99"/>
    <w:rPr>
      <w:rFonts w:asciiTheme="minorHAnsi" w:hAnsiTheme="minorHAnsi" w:eastAsiaTheme="minorEastAsia" w:cstheme="minorBidi"/>
      <w:kern w:val="2"/>
      <w:sz w:val="18"/>
      <w:szCs w:val="18"/>
    </w:rPr>
  </w:style>
  <w:style w:type="character" w:customStyle="1" w:styleId="17">
    <w:name w:val="正文文本 Char"/>
    <w:link w:val="2"/>
    <w:qFormat/>
    <w:uiPriority w:val="1"/>
    <w:rPr>
      <w:rFonts w:ascii="宋体" w:hAnsi="宋体" w:cs="宋体"/>
      <w:sz w:val="32"/>
      <w:szCs w:val="32"/>
      <w:lang w:val="zh-CN" w:bidi="zh-CN"/>
    </w:rPr>
  </w:style>
  <w:style w:type="character" w:customStyle="1" w:styleId="18">
    <w:name w:val="正文文本 Char1"/>
    <w:basedOn w:val="11"/>
    <w:link w:val="2"/>
    <w:qFormat/>
    <w:uiPriority w:val="0"/>
    <w:rPr>
      <w:rFonts w:asciiTheme="minorHAnsi" w:hAnsiTheme="minorHAnsi" w:eastAsiaTheme="minorEastAsia" w:cstheme="minorBidi"/>
      <w:kern w:val="2"/>
      <w:sz w:val="21"/>
      <w:szCs w:val="24"/>
    </w:rPr>
  </w:style>
  <w:style w:type="character" w:customStyle="1" w:styleId="19">
    <w:name w:val="批注框文本 Char"/>
    <w:basedOn w:val="11"/>
    <w:link w:val="5"/>
    <w:qFormat/>
    <w:uiPriority w:val="0"/>
    <w:rPr>
      <w:rFonts w:asciiTheme="minorHAnsi" w:hAnsiTheme="minorHAnsi" w:eastAsiaTheme="minorEastAsia" w:cstheme="minorBidi"/>
      <w:kern w:val="2"/>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theme" Target="theme/theme1.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fontTable" Target="fontTable.xml"/>
</Relationships>

</file>

<file path=word/_rels/fontTable.xml.rels><?xml version="1.0" encoding="UTF-8"?>

<Relationships xmlns="http://schemas.openxmlformats.org/package/2006/relationships">
  <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B8C9C8-98B8-4061-A1B6-004529DACE98}">
  <ds:schemaRefs/>
</ds:datastoreItem>
</file>

<file path=docProps/app.xml><?xml version="1.0" encoding="utf-8"?>
<Properties xmlns="http://schemas.openxmlformats.org/officeDocument/2006/extended-properties" xmlns:vt="http://schemas.openxmlformats.org/officeDocument/2006/docPropsVTypes">
  <Template>Normal.dotm</Template>
  <Pages>17</Pages>
  <Words>1254</Words>
  <Characters>7152</Characters>
  <Lines>59</Lines>
  <Paragraphs>16</Paragraphs>
  <TotalTime>25</TotalTime>
  <ScaleCrop>false</ScaleCrop>
  <LinksUpToDate>false</LinksUpToDate>
  <CharactersWithSpaces>8390</CharactersWithSpaces>
  <Application>WPS Office_11.1.0.11115_F1E327BC-269C-435d-A152-05C5408002CA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2021-05-14T07:45:00Z</dcterms:created>
  <dc:creator>端木后人</dc:creator>
  <lastModifiedBy>黑雨</lastModifiedBy>
  <lastPrinted>2021-05-14T07:45:00Z</lastPrinted>
  <dcterms:modified xsi:type="dcterms:W3CDTF">2021-11-22T10:15:39Z</dcterms:modified>
  <revision>60</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KSOSaveFontToCloudKey">
    <vt:lpwstr>249778178_btnclosed</vt:lpwstr>
  </property>
  <property fmtid="{D5CDD505-2E9C-101B-9397-08002B2CF9AE}" pid="4" name="ICV">
    <vt:lpwstr>25692B860BA242F481505C62544B5083</vt:lpwstr>
  </property>
</Properties>
</file>