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仿宋_GB2312" w:eastAsia="仿宋_GB2312"/>
          <w:sz w:val="32"/>
          <w:szCs w:val="32"/>
        </w:rPr>
      </w:pPr>
      <w:bookmarkStart w:id="1" w:name="_GoBack"/>
      <w:r>
        <w:rPr>
          <w:rFonts w:hint="eastAsia" w:ascii="方正小标宋简体" w:hAnsi="微软雅黑" w:eastAsia="方正小标宋简体" w:cs="微软雅黑"/>
          <w:kern w:val="0"/>
          <w:sz w:val="36"/>
          <w:szCs w:val="44"/>
          <w:shd w:val="clear" w:color="auto" w:fill="FFFFFF"/>
        </w:rPr>
        <w:t>2021年“国创计划”</w:t>
      </w:r>
      <w:bookmarkStart w:id="0" w:name="_Hlk69305865"/>
      <w:r>
        <w:rPr>
          <w:rFonts w:hint="eastAsia" w:ascii="方正小标宋简体" w:hAnsi="微软雅黑" w:eastAsia="方正小标宋简体" w:cs="微软雅黑"/>
          <w:kern w:val="0"/>
          <w:sz w:val="36"/>
          <w:szCs w:val="44"/>
          <w:shd w:val="clear" w:color="auto" w:fill="FFFFFF"/>
        </w:rPr>
        <w:t>重点支持领域项目申报指南</w:t>
      </w:r>
      <w:bookmarkEnd w:id="1"/>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一、申报要求</w:t>
      </w:r>
    </w:p>
    <w:p>
      <w:pPr>
        <w:spacing w:line="560" w:lineRule="exact"/>
        <w:ind w:firstLine="640" w:firstLineChars="200"/>
        <w:rPr>
          <w:rFonts w:hint="eastAsia" w:ascii="仿宋_GB2312" w:hAnsi="&amp;quot" w:eastAsia="仿宋_GB2312" w:cs="宋体"/>
          <w:kern w:val="0"/>
          <w:sz w:val="32"/>
          <w:szCs w:val="32"/>
        </w:rPr>
      </w:pPr>
      <w:r>
        <w:rPr>
          <w:rFonts w:hint="eastAsia" w:ascii="仿宋_GB2312" w:eastAsia="仿宋_GB2312"/>
          <w:sz w:val="32"/>
          <w:szCs w:val="32"/>
        </w:rPr>
        <w:t>重点支持项目由地方教育行政部门负责择优推荐，推荐数额不超过上一年度“国创计划”立项项目总数的</w:t>
      </w:r>
      <w:r>
        <w:rPr>
          <w:rFonts w:ascii="仿宋_GB2312" w:eastAsia="仿宋_GB2312"/>
          <w:sz w:val="32"/>
          <w:szCs w:val="32"/>
        </w:rPr>
        <w:t>2</w:t>
      </w:r>
      <w:r>
        <w:rPr>
          <w:rFonts w:hint="eastAsia" w:ascii="仿宋_GB2312" w:eastAsia="仿宋_GB2312"/>
          <w:sz w:val="32"/>
          <w:szCs w:val="32"/>
        </w:rPr>
        <w:t>%。项目支持经费原则</w:t>
      </w:r>
      <w:r>
        <w:rPr>
          <w:rFonts w:ascii="仿宋_GB2312" w:eastAsia="仿宋_GB2312"/>
          <w:sz w:val="32"/>
          <w:szCs w:val="32"/>
        </w:rPr>
        <w:t>上</w:t>
      </w:r>
      <w:r>
        <w:rPr>
          <w:rFonts w:hint="eastAsia" w:ascii="仿宋_GB2312" w:eastAsia="仿宋_GB2312"/>
          <w:sz w:val="32"/>
          <w:szCs w:val="32"/>
        </w:rPr>
        <w:t>不低于同</w:t>
      </w:r>
      <w:r>
        <w:rPr>
          <w:rFonts w:ascii="仿宋_GB2312" w:eastAsia="仿宋_GB2312"/>
          <w:sz w:val="32"/>
          <w:szCs w:val="32"/>
        </w:rPr>
        <w:t>类</w:t>
      </w:r>
      <w:r>
        <w:rPr>
          <w:rFonts w:hint="eastAsia" w:ascii="仿宋_GB2312" w:eastAsia="仿宋_GB2312"/>
          <w:sz w:val="32"/>
          <w:szCs w:val="32"/>
        </w:rPr>
        <w:t>型</w:t>
      </w:r>
      <w:r>
        <w:rPr>
          <w:rFonts w:ascii="仿宋_GB2312" w:eastAsia="仿宋_GB2312"/>
          <w:sz w:val="32"/>
          <w:szCs w:val="32"/>
        </w:rPr>
        <w:t>其他</w:t>
      </w:r>
      <w:r>
        <w:rPr>
          <w:rFonts w:hint="eastAsia" w:ascii="仿宋_GB2312" w:eastAsia="仿宋_GB2312"/>
          <w:sz w:val="32"/>
          <w:szCs w:val="32"/>
        </w:rPr>
        <w:t>“国创计划”项目支持经费</w:t>
      </w:r>
      <w:r>
        <w:rPr>
          <w:rFonts w:ascii="仿宋_GB2312" w:eastAsia="仿宋_GB2312"/>
          <w:sz w:val="32"/>
          <w:szCs w:val="32"/>
        </w:rPr>
        <w:t>的2</w:t>
      </w:r>
      <w:r>
        <w:rPr>
          <w:rFonts w:hint="eastAsia" w:ascii="仿宋_GB2312" w:eastAsia="仿宋_GB2312"/>
          <w:sz w:val="32"/>
          <w:szCs w:val="32"/>
        </w:rPr>
        <w:t>倍</w:t>
      </w:r>
      <w:r>
        <w:rPr>
          <w:rFonts w:ascii="仿宋_GB2312" w:hAnsi="&amp;quot" w:eastAsia="仿宋_GB2312" w:cs="宋体"/>
          <w:kern w:val="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重点</w:t>
      </w:r>
      <w:r>
        <w:rPr>
          <w:rFonts w:hint="eastAsia" w:ascii="黑体" w:hAnsi="黑体" w:eastAsia="黑体"/>
          <w:sz w:val="32"/>
          <w:szCs w:val="32"/>
        </w:rPr>
        <w:t>领域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根据“十四五”规划纲要要求，以新工科、新医科、新农科、新文科推动高等教育高质量发展，重点支持大学生在以下领域开展创新创业活动：</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（一）泛终端芯片及操作系统应用开发。</w:t>
      </w:r>
      <w:r>
        <w:rPr>
          <w:rFonts w:hint="eastAsia" w:ascii="仿宋_GB2312" w:eastAsia="仿宋_GB2312"/>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（二）重大应用关键软件。</w:t>
      </w:r>
      <w:r>
        <w:rPr>
          <w:rFonts w:hint="eastAsia" w:ascii="仿宋_GB2312" w:eastAsia="仿宋_GB2312"/>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（三）云计算和大数据。</w:t>
      </w:r>
      <w:r>
        <w:rPr>
          <w:rFonts w:hint="eastAsia" w:ascii="仿宋_GB2312" w:eastAsia="仿宋_GB2312"/>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（四）人工智能。</w:t>
      </w:r>
      <w:r>
        <w:rPr>
          <w:rFonts w:hint="eastAsia" w:ascii="仿宋_GB2312" w:eastAsia="仿宋_GB2312"/>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（五）无人驾驶。</w:t>
      </w:r>
      <w:r>
        <w:rPr>
          <w:rFonts w:ascii="仿宋_GB2312" w:eastAsia="仿宋_GB2312"/>
          <w:sz w:val="32"/>
          <w:szCs w:val="32"/>
        </w:rPr>
        <w:t>围绕我国自主研发的关键车载芯片</w:t>
      </w:r>
      <w:r>
        <w:rPr>
          <w:rFonts w:hint="eastAsia" w:ascii="仿宋_GB2312" w:eastAsia="仿宋_GB2312"/>
          <w:sz w:val="32"/>
          <w:szCs w:val="32"/>
        </w:rPr>
        <w:t>、智能驾驶操作系统、车载中间件构建</w:t>
      </w:r>
      <w:r>
        <w:rPr>
          <w:rFonts w:ascii="仿宋_GB2312" w:eastAsia="仿宋_GB2312"/>
          <w:sz w:val="32"/>
          <w:szCs w:val="32"/>
        </w:rPr>
        <w:t>功能软件算法</w:t>
      </w:r>
      <w:r>
        <w:rPr>
          <w:rFonts w:hint="eastAsia" w:ascii="仿宋_GB2312" w:eastAsia="仿宋_GB2312"/>
          <w:sz w:val="32"/>
          <w:szCs w:val="32"/>
        </w:rPr>
        <w:t>，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（六）新能源与储能技术。</w:t>
      </w:r>
      <w:r>
        <w:rPr>
          <w:rFonts w:hint="eastAsia" w:ascii="仿宋_GB2312" w:eastAsia="仿宋_GB2312"/>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（七）生物技术与生物育种。</w:t>
      </w:r>
      <w:r>
        <w:rPr>
          <w:rFonts w:hint="eastAsia" w:ascii="仿宋_GB2312" w:eastAsia="仿宋_GB2312"/>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（八）绿色环保与固废资源化。</w:t>
      </w:r>
      <w:r>
        <w:rPr>
          <w:rFonts w:hint="eastAsia" w:ascii="仿宋_GB2312" w:eastAsia="仿宋_GB2312"/>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（九）第五代通信技术和新一代IP网络通信技术。</w:t>
      </w:r>
      <w:r>
        <w:rPr>
          <w:rFonts w:hint="eastAsia" w:ascii="仿宋_GB2312" w:eastAsia="仿宋_GB2312"/>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（十）社会事业与文化传承</w:t>
      </w:r>
    </w:p>
    <w:p>
      <w:pPr>
        <w:adjustRightInd w:val="0"/>
        <w:snapToGrid w:val="0"/>
        <w:spacing w:line="560" w:lineRule="exact"/>
        <w:ind w:right="-57" w:rightChars="-27"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_GB2312" w:hAnsi="仿宋" w:eastAsia="仿宋_GB2312"/>
          <w:sz w:val="32"/>
          <w:szCs w:val="32"/>
        </w:rPr>
        <w:t>调研分析行业市场需求，特别关注文化科技融合、文化创业等产业新需求新变化。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mp;quo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A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2021-05-27T13:35:49Z</dcterms:created>
  <dc:creator>DELL</dc:creator>
  <lastModifiedBy>DELL</lastModifiedBy>
  <dcterms:modified xsi:type="dcterms:W3CDTF">2021-05-27T13:36:32Z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B7703D95093E4BADA9F3F5E187A89659</vt:lpwstr>
  </property>
</Properties>
</file>